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EC4A" w14:textId="77777777" w:rsidR="00F10C78" w:rsidRDefault="00F10C78">
      <w:pPr>
        <w:spacing w:line="240" w:lineRule="auto"/>
      </w:pPr>
    </w:p>
    <w:tbl>
      <w:tblPr>
        <w:tblW w:w="9238" w:type="dxa"/>
        <w:tblInd w:w="113" w:type="dxa"/>
        <w:tblLayout w:type="fixed"/>
        <w:tblLook w:val="0000" w:firstRow="0" w:lastRow="0" w:firstColumn="0" w:lastColumn="0" w:noHBand="0" w:noVBand="0"/>
      </w:tblPr>
      <w:tblGrid>
        <w:gridCol w:w="9238"/>
      </w:tblGrid>
      <w:tr w:rsidR="00A61746" w14:paraId="37B85FAD"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68CDBC29" w14:textId="77777777" w:rsidR="00A61746" w:rsidRDefault="00A61746">
            <w:pPr>
              <w:pStyle w:val="Heading2"/>
              <w:widowControl w:val="0"/>
              <w:jc w:val="left"/>
            </w:pPr>
            <w:r>
              <w:rPr>
                <w:rFonts w:ascii="Calibri" w:hAnsi="Calibri" w:cs="Calibri"/>
                <w:sz w:val="32"/>
                <w:szCs w:val="32"/>
                <w:lang w:val="el-GR"/>
              </w:rPr>
              <w:t>Ελληνικά</w:t>
            </w:r>
            <w:r>
              <w:rPr>
                <w:sz w:val="32"/>
                <w:szCs w:val="32"/>
                <w:lang w:val="en-GB"/>
              </w:rPr>
              <w:t xml:space="preserve"> </w:t>
            </w:r>
          </w:p>
        </w:tc>
      </w:tr>
      <w:tr w:rsidR="00A61746" w:rsidRPr="00A61746" w14:paraId="179C4212"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611256E4" w14:textId="7326989D" w:rsidR="00A61746" w:rsidRPr="00A61746" w:rsidRDefault="00A61746">
            <w:pPr>
              <w:pStyle w:val="Heading2"/>
              <w:widowControl w:val="0"/>
              <w:jc w:val="left"/>
              <w:rPr>
                <w:sz w:val="32"/>
                <w:szCs w:val="32"/>
                <w:lang w:val="en-US"/>
              </w:rPr>
            </w:pPr>
            <w:r>
              <w:rPr>
                <w:sz w:val="32"/>
                <w:szCs w:val="32"/>
                <w:lang w:val="el-GR"/>
              </w:rPr>
              <w:t>Ενδυναμώνοντας Ζωές, Διαμορφώνοντας το Μέλλον: Μανιφέστο για μία Ενιαία Προσέγγιση στην Πολλαπλή Σκλήρυνση</w:t>
            </w:r>
          </w:p>
        </w:tc>
      </w:tr>
      <w:tr w:rsidR="00A61746" w14:paraId="3CDE9F52"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F1ED502" w14:textId="77777777" w:rsidR="00A61746" w:rsidRPr="00A61746" w:rsidRDefault="00A61746">
            <w:pPr>
              <w:pStyle w:val="Heading2"/>
              <w:widowControl w:val="0"/>
              <w:spacing w:line="240" w:lineRule="auto"/>
              <w:jc w:val="left"/>
              <w:rPr>
                <w:lang w:val="en-GB"/>
              </w:rPr>
            </w:pPr>
            <w:r>
              <w:rPr>
                <w:rFonts w:ascii="Fira Sans Condensed" w:hAnsi="Fira Sans Condensed"/>
                <w:color w:val="auto"/>
                <w:kern w:val="2"/>
                <w:sz w:val="22"/>
                <w:szCs w:val="22"/>
                <w:lang w:val="en-US"/>
              </w:rPr>
              <w:t>Τ</w:t>
            </w:r>
            <w:r>
              <w:rPr>
                <w:rFonts w:ascii="Fira Sans Condensed" w:hAnsi="Fira Sans Condensed"/>
                <w:color w:val="auto"/>
                <w:kern w:val="2"/>
                <w:sz w:val="22"/>
                <w:szCs w:val="22"/>
                <w:lang w:val="el-GR"/>
              </w:rPr>
              <w:t>ο μανιφέστο αυτό, έρχεται ως απάντηση στην επείγουσα ανάγκη αντιμετώπισης των ανεκπλήρωτων αναγκών που αντιμετωπίζουν πάνω από 1,2 εκατομμύρια άτομα που ζουν με πολλαπλή σκλήρυνση (ΠΣ) σε όλη την Ευρώπη.</w:t>
            </w:r>
          </w:p>
        </w:tc>
      </w:tr>
      <w:tr w:rsidR="00A61746" w14:paraId="7E7179B5"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2032A0F" w14:textId="77777777" w:rsidR="00A61746" w:rsidRDefault="00A61746">
            <w:pPr>
              <w:widowControl w:val="0"/>
              <w:spacing w:after="0" w:line="240" w:lineRule="auto"/>
              <w:jc w:val="left"/>
            </w:pPr>
            <w:r>
              <w:rPr>
                <w:b/>
                <w:bCs/>
                <w:lang w:val="el-GR"/>
              </w:rPr>
              <w:t>Κάθε πέντε λεπτά, κάποιος, κάπου στον κόσμο διαγιγνώσκεται με ΠΣ.</w:t>
            </w:r>
          </w:p>
        </w:tc>
      </w:tr>
      <w:tr w:rsidR="00A61746" w14:paraId="3D045021"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F1FAB88" w14:textId="77777777" w:rsidR="00A61746" w:rsidRDefault="00A61746">
            <w:pPr>
              <w:widowControl w:val="0"/>
              <w:spacing w:after="0" w:line="240" w:lineRule="auto"/>
              <w:jc w:val="left"/>
            </w:pPr>
            <w:r>
              <w:rPr>
                <w:lang w:val="el-GR"/>
              </w:rPr>
              <w:t>Ο επιπολασμός της ΠΣ είναι σημαντικός, με 37.000 νέες διαγνώσεις ΠΣ να αναφέρονται σε 27 Ευρωπαϊκές χώρες το 2018.</w:t>
            </w:r>
          </w:p>
        </w:tc>
      </w:tr>
      <w:tr w:rsidR="00A61746" w:rsidRPr="00A61746" w14:paraId="0672EB76"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DBF1419" w14:textId="77777777" w:rsidR="00A61746" w:rsidRPr="00A61746" w:rsidRDefault="00A61746">
            <w:pPr>
              <w:pStyle w:val="Heading2"/>
              <w:widowControl w:val="0"/>
              <w:spacing w:line="240" w:lineRule="auto"/>
              <w:jc w:val="left"/>
              <w:rPr>
                <w:lang w:val="el-GR"/>
              </w:rPr>
            </w:pPr>
            <w:r>
              <w:rPr>
                <w:rFonts w:ascii="Fira Sans Condensed" w:hAnsi="Fira Sans Condensed"/>
                <w:b w:val="0"/>
                <w:bCs w:val="0"/>
                <w:color w:val="auto"/>
                <w:kern w:val="2"/>
                <w:sz w:val="22"/>
                <w:szCs w:val="22"/>
                <w:lang w:val="el-GR"/>
              </w:rPr>
              <w:t xml:space="preserve">Ως χρόνια νευροεκφυλιστική κατάσταση, η πολλαπλή σκλήρυνση (ΠΣ) </w:t>
            </w:r>
            <w:r>
              <w:rPr>
                <w:rFonts w:ascii="Fira Sans Condensed" w:hAnsi="Fira Sans Condensed"/>
                <w:b w:val="0"/>
                <w:bCs w:val="0"/>
                <w:color w:val="000000"/>
                <w:kern w:val="2"/>
                <w:sz w:val="22"/>
                <w:szCs w:val="22"/>
                <w:lang w:val="el-GR"/>
              </w:rPr>
              <w:t>περιλαμβάνει</w:t>
            </w:r>
            <w:r>
              <w:rPr>
                <w:rFonts w:ascii="Fira Sans Condensed" w:hAnsi="Fira Sans Condensed"/>
                <w:b w:val="0"/>
                <w:bCs w:val="0"/>
                <w:color w:val="auto"/>
                <w:kern w:val="2"/>
                <w:sz w:val="22"/>
                <w:szCs w:val="22"/>
                <w:lang w:val="el-GR"/>
              </w:rPr>
              <w:t xml:space="preserve"> το ανοσοποιητικό σύστημα που λανθασμένα επιτίθεται σε υγιή νεύρα. Η ΠΣ εκδηλώνεται μοναδικά σε κάθε άτομο, εμφανίζοντας απρόβλεπτα συμπτώματα όπως πόνο, κόπωση, μειωμένη κινητικότητα και γνωστικές δυσλειτουργίες.</w:t>
            </w:r>
          </w:p>
        </w:tc>
      </w:tr>
      <w:tr w:rsidR="00A61746" w:rsidRPr="00A61746" w14:paraId="2548F7A3"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48E7CF6" w14:textId="77777777" w:rsidR="00A61746" w:rsidRDefault="00A61746">
            <w:pPr>
              <w:pStyle w:val="Heading1"/>
              <w:widowControl w:val="0"/>
              <w:spacing w:line="240" w:lineRule="auto"/>
              <w:jc w:val="center"/>
            </w:pPr>
            <w:r>
              <w:rPr>
                <w:lang w:val="el-GR"/>
              </w:rPr>
              <w:t>Ανεκπλήρωτες ανάγκες</w:t>
            </w:r>
          </w:p>
          <w:p w14:paraId="595CB38C" w14:textId="77777777" w:rsidR="00A61746" w:rsidRDefault="00A61746">
            <w:pPr>
              <w:pStyle w:val="Heading1"/>
              <w:widowControl w:val="0"/>
              <w:spacing w:line="240" w:lineRule="auto"/>
              <w:jc w:val="center"/>
            </w:pPr>
            <w:r>
              <w:rPr>
                <w:lang w:val="el-GR"/>
              </w:rPr>
              <w:t>στη διαχείριση</w:t>
            </w:r>
          </w:p>
          <w:p w14:paraId="5460EBF5" w14:textId="77777777" w:rsidR="00A61746" w:rsidRDefault="00A61746">
            <w:pPr>
              <w:pStyle w:val="Heading1"/>
              <w:widowControl w:val="0"/>
              <w:spacing w:line="240" w:lineRule="auto"/>
              <w:jc w:val="center"/>
            </w:pPr>
            <w:r>
              <w:rPr>
                <w:lang w:val="el-GR"/>
              </w:rPr>
              <w:t>της Πολλαπλής Σκλήρυνσης</w:t>
            </w:r>
          </w:p>
        </w:tc>
      </w:tr>
      <w:tr w:rsidR="00A61746" w:rsidRPr="00A61746" w14:paraId="32033FFC"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6BEE5A18" w14:textId="77777777" w:rsidR="00A61746" w:rsidRPr="00A61746" w:rsidRDefault="00A61746">
            <w:pPr>
              <w:widowControl w:val="0"/>
              <w:spacing w:after="0" w:line="240" w:lineRule="auto"/>
              <w:jc w:val="left"/>
              <w:rPr>
                <w:lang w:val="el-GR"/>
              </w:rPr>
            </w:pPr>
            <w:r>
              <w:rPr>
                <w:b/>
                <w:bCs/>
                <w:u w:val="single"/>
                <w:lang w:val="el-GR"/>
              </w:rPr>
              <w:t>Μη ίση πρόσβαση σε κατάλληλη και χρονικά έγκαιρη φροντίδα</w:t>
            </w:r>
          </w:p>
        </w:tc>
      </w:tr>
      <w:tr w:rsidR="00A61746" w:rsidRPr="00A61746" w14:paraId="400ABE7F"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6A91802" w14:textId="77777777" w:rsidR="00A61746" w:rsidRPr="00A61746" w:rsidRDefault="00A61746">
            <w:pPr>
              <w:pStyle w:val="Heading2"/>
              <w:widowControl w:val="0"/>
              <w:spacing w:line="240" w:lineRule="auto"/>
              <w:jc w:val="left"/>
              <w:rPr>
                <w:lang w:val="el-GR"/>
              </w:rPr>
            </w:pPr>
            <w:r>
              <w:rPr>
                <w:rFonts w:ascii="Fira Sans Condensed" w:hAnsi="Fira Sans Condensed"/>
                <w:b w:val="0"/>
                <w:bCs w:val="0"/>
                <w:color w:val="auto"/>
                <w:kern w:val="2"/>
                <w:sz w:val="22"/>
                <w:szCs w:val="22"/>
                <w:lang w:val="el-GR"/>
              </w:rPr>
              <w:t xml:space="preserve">Παρά την απρόβλεπτη φύση αυτής της νευροεκφυλιστικής νόσου, </w:t>
            </w:r>
            <w:r>
              <w:rPr>
                <w:rFonts w:ascii="Fira Sans Condensed" w:hAnsi="Fira Sans Condensed"/>
                <w:color w:val="auto"/>
                <w:kern w:val="2"/>
                <w:sz w:val="22"/>
                <w:szCs w:val="22"/>
                <w:lang w:val="el-GR"/>
              </w:rPr>
              <w:t>η έγκαιρη διάγνωση</w:t>
            </w:r>
            <w:r>
              <w:rPr>
                <w:rFonts w:ascii="Fira Sans Condensed" w:hAnsi="Fira Sans Condensed"/>
                <w:b w:val="0"/>
                <w:bCs w:val="0"/>
                <w:color w:val="auto"/>
                <w:kern w:val="2"/>
                <w:sz w:val="22"/>
                <w:szCs w:val="22"/>
                <w:lang w:val="el-GR"/>
              </w:rPr>
              <w:t xml:space="preserve">, </w:t>
            </w:r>
            <w:r>
              <w:rPr>
                <w:rFonts w:ascii="Fira Sans Condensed" w:hAnsi="Fira Sans Condensed"/>
                <w:color w:val="auto"/>
                <w:kern w:val="2"/>
                <w:sz w:val="22"/>
                <w:szCs w:val="22"/>
                <w:lang w:val="el-GR"/>
              </w:rPr>
              <w:t>θεραπεία και υποστήριξη επηρεάζουν την εξέλιξη της νόσου και βελτιώνουν την ποιότητα ζωής όσων διαγιγνώσκονται με ΠΣ</w:t>
            </w:r>
            <w:r>
              <w:rPr>
                <w:rFonts w:ascii="Fira Sans Condensed" w:hAnsi="Fira Sans Condensed"/>
                <w:b w:val="0"/>
                <w:bCs w:val="0"/>
                <w:color w:val="auto"/>
                <w:kern w:val="2"/>
                <w:sz w:val="22"/>
                <w:szCs w:val="22"/>
                <w:lang w:val="el-GR"/>
              </w:rPr>
              <w:t>. Υπάρχουν σημαντικές διαφορές στη διαθεσιμότητα θεραπείας και περίθαλψης σε ολόκληρη την Ευρώπη, αναδεικ</w:t>
            </w:r>
            <w:r>
              <w:rPr>
                <w:rFonts w:ascii="Fira Sans Condensed" w:hAnsi="Fira Sans Condensed"/>
                <w:b w:val="0"/>
                <w:bCs w:val="0"/>
                <w:color w:val="000000"/>
                <w:kern w:val="2"/>
                <w:sz w:val="22"/>
                <w:szCs w:val="22"/>
                <w:lang w:val="el-GR"/>
              </w:rPr>
              <w:t>νύοντα</w:t>
            </w:r>
            <w:r>
              <w:rPr>
                <w:rFonts w:ascii="Fira Sans Condensed" w:hAnsi="Fira Sans Condensed"/>
                <w:b w:val="0"/>
                <w:bCs w:val="0"/>
                <w:color w:val="auto"/>
                <w:kern w:val="2"/>
                <w:sz w:val="22"/>
                <w:szCs w:val="22"/>
                <w:lang w:val="el-GR"/>
              </w:rPr>
              <w:t>ς κρίσιμα συστημικά ζητήματα.</w:t>
            </w:r>
          </w:p>
        </w:tc>
      </w:tr>
      <w:tr w:rsidR="00A61746" w:rsidRPr="00A61746" w14:paraId="4E31C5B9"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A245085" w14:textId="77777777" w:rsidR="00A61746" w:rsidRPr="00A61746" w:rsidRDefault="00A61746">
            <w:pPr>
              <w:pStyle w:val="Heading2"/>
              <w:widowControl w:val="0"/>
              <w:spacing w:line="240" w:lineRule="auto"/>
              <w:jc w:val="left"/>
              <w:rPr>
                <w:lang w:val="el-GR"/>
              </w:rPr>
            </w:pPr>
            <w:r>
              <w:rPr>
                <w:rFonts w:ascii="Fira Sans Condensed" w:hAnsi="Fira Sans Condensed"/>
                <w:b w:val="0"/>
                <w:bCs w:val="0"/>
                <w:color w:val="auto"/>
                <w:kern w:val="2"/>
                <w:sz w:val="22"/>
                <w:szCs w:val="22"/>
                <w:lang w:val="el-GR"/>
              </w:rPr>
              <w:t xml:space="preserve">Ειδικότερα, </w:t>
            </w:r>
            <w:r>
              <w:rPr>
                <w:rFonts w:ascii="Fira Sans Condensed" w:hAnsi="Fira Sans Condensed"/>
                <w:color w:val="auto"/>
                <w:kern w:val="2"/>
                <w:sz w:val="22"/>
                <w:szCs w:val="22"/>
                <w:lang w:val="el-GR"/>
              </w:rPr>
              <w:t>η αποκατάσταση εξακολουθεί να παραβλέπεται</w:t>
            </w:r>
            <w:r>
              <w:rPr>
                <w:rFonts w:ascii="Fira Sans Condensed" w:hAnsi="Fira Sans Condensed"/>
                <w:b w:val="0"/>
                <w:bCs w:val="0"/>
                <w:color w:val="auto"/>
                <w:kern w:val="2"/>
                <w:sz w:val="22"/>
                <w:szCs w:val="22"/>
                <w:lang w:val="el-GR"/>
              </w:rPr>
              <w:t>, με λιγότερους από τους μισούς ασθενείς με ΠΣ να έχουν πρόσβαση στην απαιτούμενη φυσική αποκατάσταση και ακόμη λιγότερους να επωφελούνται από ψυχολογική, γνωστική αποκατάσταση και εργοθεραπεία.</w:t>
            </w:r>
          </w:p>
        </w:tc>
      </w:tr>
      <w:tr w:rsidR="00A61746" w:rsidRPr="00A61746" w14:paraId="2BA8A281"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DBB0B2E" w14:textId="77777777" w:rsidR="00A61746" w:rsidRPr="00A61746" w:rsidRDefault="00A61746">
            <w:pPr>
              <w:pStyle w:val="Heading2"/>
              <w:widowControl w:val="0"/>
              <w:spacing w:line="240" w:lineRule="auto"/>
              <w:jc w:val="left"/>
              <w:rPr>
                <w:lang w:val="el-GR"/>
              </w:rPr>
            </w:pPr>
            <w:r>
              <w:rPr>
                <w:rFonts w:ascii="Fira Sans Condensed" w:hAnsi="Fira Sans Condensed"/>
                <w:b w:val="0"/>
                <w:bCs w:val="0"/>
                <w:color w:val="auto"/>
                <w:kern w:val="2"/>
                <w:sz w:val="22"/>
                <w:szCs w:val="22"/>
                <w:lang w:val="el-GR"/>
              </w:rPr>
              <w:t xml:space="preserve">Παρά την ύπαρξη νευρολόγων και νοσηλευτών στις διεπιστημονικές ομάδες για την ΠΣ, </w:t>
            </w:r>
            <w:r>
              <w:rPr>
                <w:rFonts w:ascii="Fira Sans Condensed" w:hAnsi="Fira Sans Condensed"/>
                <w:color w:val="auto"/>
                <w:kern w:val="2"/>
                <w:sz w:val="22"/>
                <w:szCs w:val="22"/>
                <w:lang w:val="el-GR"/>
              </w:rPr>
              <w:t>η έλλειψη εξειδικευμένων που επιδεινώνεται από τη διασπασμένη προσοχή και την αυξανόμενη έλλειψη προσωπικού, οδηγεί σε ανεπαρκή φροντίδα για τους ασθενείς με ΠΣ</w:t>
            </w:r>
            <w:r>
              <w:rPr>
                <w:rFonts w:ascii="Fira Sans Condensed" w:hAnsi="Fira Sans Condensed"/>
                <w:b w:val="0"/>
                <w:bCs w:val="0"/>
                <w:color w:val="auto"/>
                <w:kern w:val="2"/>
                <w:sz w:val="22"/>
                <w:szCs w:val="22"/>
                <w:lang w:val="el-GR"/>
              </w:rPr>
              <w:t xml:space="preserve">.  Αυτή η έλλειψη γίνεται ιδιαιτέρως εμφανής από ανησυχητικές αναλογίες καθώς υπάρχουν χώρες όπως η Λετονία και η Λιθουανία που αναφέρουν πως αντιστοιχούν περισσότεροι από έναν νευρολόγοι ανά 10 άτομα με ΠΣ, έναντι εκείνων όπως η </w:t>
            </w:r>
            <w:r>
              <w:rPr>
                <w:rFonts w:ascii="Fira Sans Condensed" w:hAnsi="Fira Sans Condensed"/>
                <w:color w:val="auto"/>
                <w:kern w:val="2"/>
                <w:sz w:val="22"/>
                <w:szCs w:val="22"/>
                <w:lang w:val="el-GR"/>
              </w:rPr>
              <w:t>Ιρλανδία</w:t>
            </w:r>
            <w:r>
              <w:rPr>
                <w:rFonts w:ascii="Fira Sans Condensed" w:hAnsi="Fira Sans Condensed"/>
                <w:b w:val="0"/>
                <w:bCs w:val="0"/>
                <w:color w:val="auto"/>
                <w:kern w:val="2"/>
                <w:sz w:val="22"/>
                <w:szCs w:val="22"/>
                <w:lang w:val="el-GR"/>
              </w:rPr>
              <w:t xml:space="preserve"> που αναφέρουν </w:t>
            </w:r>
            <w:r>
              <w:rPr>
                <w:rFonts w:ascii="Fira Sans Condensed" w:hAnsi="Fira Sans Condensed"/>
                <w:color w:val="auto"/>
                <w:kern w:val="2"/>
                <w:sz w:val="22"/>
                <w:szCs w:val="22"/>
                <w:lang w:val="el-GR"/>
              </w:rPr>
              <w:t>1 νευρολόγο για κάθε 281.</w:t>
            </w:r>
          </w:p>
        </w:tc>
      </w:tr>
      <w:tr w:rsidR="00A61746" w:rsidRPr="00A61746" w14:paraId="3528FE28"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D2A270D" w14:textId="30E92B5C" w:rsidR="00A61746" w:rsidRPr="00A61746" w:rsidRDefault="00A61746">
            <w:pPr>
              <w:pStyle w:val="Heading2"/>
              <w:widowControl w:val="0"/>
              <w:spacing w:line="240" w:lineRule="auto"/>
              <w:jc w:val="left"/>
              <w:rPr>
                <w:lang w:val="el-GR"/>
              </w:rPr>
            </w:pPr>
            <w:r>
              <w:rPr>
                <w:rFonts w:ascii="Fira Sans Condensed" w:hAnsi="Fira Sans Condensed"/>
                <w:color w:val="auto"/>
                <w:kern w:val="2"/>
                <w:sz w:val="22"/>
                <w:szCs w:val="22"/>
                <w:lang w:val="el-GR"/>
              </w:rPr>
              <w:t xml:space="preserve">Οι ανισότητες στις πολιτικές διαθεσιμότητας και αποζημίωσης για τα </w:t>
            </w:r>
            <w:r>
              <w:rPr>
                <w:rFonts w:ascii="Fira Sans Condensed" w:hAnsi="Fira Sans Condensed"/>
                <w:color w:val="000000"/>
                <w:kern w:val="2"/>
                <w:sz w:val="22"/>
                <w:szCs w:val="22"/>
                <w:lang w:val="el-GR"/>
              </w:rPr>
              <w:t>νοσοτροποποιητικά</w:t>
            </w:r>
            <w:r>
              <w:rPr>
                <w:rFonts w:ascii="Fira Sans Condensed" w:hAnsi="Fira Sans Condensed"/>
                <w:color w:val="auto"/>
                <w:kern w:val="2"/>
                <w:sz w:val="22"/>
                <w:szCs w:val="22"/>
                <w:lang w:val="el-GR"/>
              </w:rPr>
              <w:t xml:space="preserve"> φάρμακα (</w:t>
            </w:r>
            <w:r>
              <w:rPr>
                <w:rFonts w:ascii="Fira Sans Condensed" w:hAnsi="Fira Sans Condensed"/>
                <w:color w:val="auto"/>
                <w:kern w:val="2"/>
                <w:sz w:val="22"/>
                <w:szCs w:val="22"/>
                <w:lang w:val="en-GB"/>
              </w:rPr>
              <w:t>DMD</w:t>
            </w:r>
            <w:r>
              <w:rPr>
                <w:rFonts w:ascii="Fira Sans Condensed" w:hAnsi="Fira Sans Condensed"/>
                <w:color w:val="auto"/>
                <w:kern w:val="2"/>
                <w:sz w:val="22"/>
                <w:szCs w:val="22"/>
                <w:lang w:val="en-BE"/>
              </w:rPr>
              <w:t>s</w:t>
            </w:r>
            <w:r>
              <w:rPr>
                <w:rFonts w:ascii="Fira Sans Condensed" w:hAnsi="Fira Sans Condensed"/>
                <w:color w:val="auto"/>
                <w:kern w:val="2"/>
                <w:sz w:val="22"/>
                <w:szCs w:val="22"/>
                <w:lang w:val="el-GR"/>
              </w:rPr>
              <w:t>)</w:t>
            </w:r>
            <w:r>
              <w:rPr>
                <w:rStyle w:val="FootnoteReference"/>
                <w:rFonts w:ascii="Fira Sans Condensed" w:hAnsi="Fira Sans Condensed"/>
                <w:b w:val="0"/>
                <w:bCs w:val="0"/>
                <w:color w:val="auto"/>
                <w:kern w:val="2"/>
                <w:sz w:val="22"/>
                <w:szCs w:val="22"/>
                <w:lang w:val="el-GR"/>
              </w:rPr>
              <w:footnoteReference w:id="1"/>
            </w:r>
            <w:r>
              <w:rPr>
                <w:rFonts w:ascii="Fira Sans Condensed" w:hAnsi="Fira Sans Condensed"/>
                <w:b w:val="0"/>
                <w:bCs w:val="0"/>
                <w:color w:val="auto"/>
                <w:kern w:val="2"/>
                <w:sz w:val="22"/>
                <w:szCs w:val="22"/>
                <w:lang w:val="el-GR"/>
              </w:rPr>
              <w:t xml:space="preserve"> μεταξύ των κρατών μελών, αποτελούν ένα ακόμη εμπόδιο για τους ασθενείς με ΠΣ  σε ολόκληρη την Ευρώπη, όσον αφορά στην πρόσβαση, σε επαρκή και έγκαιρη θεραπεία. Τα </w:t>
            </w:r>
            <w:r>
              <w:rPr>
                <w:rFonts w:ascii="Fira Sans Condensed" w:hAnsi="Fira Sans Condensed"/>
                <w:b w:val="0"/>
                <w:bCs w:val="0"/>
                <w:color w:val="auto"/>
                <w:kern w:val="2"/>
                <w:sz w:val="22"/>
                <w:szCs w:val="22"/>
                <w:lang w:val="en-GB"/>
              </w:rPr>
              <w:t>DMD</w:t>
            </w:r>
            <w:r>
              <w:rPr>
                <w:rFonts w:ascii="Fira Sans Condensed" w:hAnsi="Fira Sans Condensed"/>
                <w:b w:val="0"/>
                <w:bCs w:val="0"/>
                <w:color w:val="auto"/>
                <w:kern w:val="2"/>
                <w:sz w:val="22"/>
                <w:szCs w:val="22"/>
                <w:lang w:val="en-BE"/>
              </w:rPr>
              <w:t>s</w:t>
            </w:r>
            <w:r>
              <w:rPr>
                <w:rFonts w:ascii="Fira Sans Condensed" w:hAnsi="Fira Sans Condensed"/>
                <w:b w:val="0"/>
                <w:bCs w:val="0"/>
                <w:color w:val="auto"/>
                <w:kern w:val="2"/>
                <w:sz w:val="22"/>
                <w:szCs w:val="22"/>
                <w:lang w:val="el-GR"/>
              </w:rPr>
              <w:t xml:space="preserve"> είναι ζωτικής σημασίας για τη φροντίδα της ΠΣ, ελαχιστοποιώντας τις υποτροπές και επιβραδύνοντας την εξέλιξη της νόσου. Παρόλα αυτά, το 2018, το 43% των ατόμων με ΠΣ στην Ευρώπη, δεν λάμβαναν θεραπεία με </w:t>
            </w:r>
            <w:r>
              <w:rPr>
                <w:rFonts w:ascii="Fira Sans Condensed" w:hAnsi="Fira Sans Condensed"/>
                <w:b w:val="0"/>
                <w:bCs w:val="0"/>
                <w:color w:val="auto"/>
                <w:kern w:val="2"/>
                <w:sz w:val="22"/>
                <w:szCs w:val="22"/>
                <w:lang w:val="en-GB"/>
              </w:rPr>
              <w:t>DMD</w:t>
            </w:r>
            <w:r>
              <w:rPr>
                <w:rFonts w:ascii="Fira Sans Condensed" w:hAnsi="Fira Sans Condensed"/>
                <w:b w:val="0"/>
                <w:bCs w:val="0"/>
                <w:color w:val="auto"/>
                <w:kern w:val="2"/>
                <w:sz w:val="22"/>
                <w:szCs w:val="22"/>
                <w:lang w:val="el-GR"/>
              </w:rPr>
              <w:t>, αντιμετωπίζοντας εμπόδια όπως η υψηλή συμμετοχή στο κόστος, η απροθυμία των επαγγελματιών υγείας να εγκρίνουν αλλαγές σε ακριβότερες θεραπείες, οι ελλείψεις νευρολόγων για συνταγογράφηση και επίβλεψη θεραπειών και οι γεωγραφικές προκλήσεις, όσον αφορά στην πρόσβαση στη θεραπεία.</w:t>
            </w:r>
          </w:p>
        </w:tc>
      </w:tr>
      <w:tr w:rsidR="00A61746" w:rsidRPr="00A61746" w14:paraId="4F4E2342"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E68A351" w14:textId="77777777" w:rsidR="00A61746" w:rsidRPr="00A61746" w:rsidRDefault="00A61746">
            <w:pPr>
              <w:widowControl w:val="0"/>
              <w:spacing w:after="0" w:line="240" w:lineRule="auto"/>
              <w:jc w:val="left"/>
              <w:rPr>
                <w:lang w:val="el-GR"/>
              </w:rPr>
            </w:pPr>
            <w:r>
              <w:rPr>
                <w:b/>
                <w:bCs/>
                <w:lang w:val="el-GR"/>
              </w:rPr>
              <w:t>Για να υπάρχει πρόσβαση σε κατάλληλη και έγκαιρη περίθαλψη, καλούμε την ΕΕ να πρωτοστατήσει υποστηρίζοντας ενεργά την εξειδίκευση των επαγγελματιών υγείας σε κατευθύνσεις γενικής εκπαίδευσης για νευρολογικές παθήσεις όπως η ΠΣ, συμπεριλαμβανομένης της ανάπτυξης διαπιστευμένων εξειδικευμένων μαθημάτων για την ΠΣ για επαγγελματίες υγείας και την προώθηση της ευρείας υιοθέτησής τους σε όλες τις χώρες.</w:t>
            </w:r>
          </w:p>
        </w:tc>
      </w:tr>
      <w:tr w:rsidR="00A61746" w14:paraId="3AFF8C2C"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62D5B14C" w14:textId="77777777" w:rsidR="00A61746" w:rsidRDefault="00A61746">
            <w:pPr>
              <w:widowControl w:val="0"/>
              <w:spacing w:after="0" w:line="240" w:lineRule="auto"/>
              <w:jc w:val="left"/>
            </w:pPr>
            <w:proofErr w:type="spellStart"/>
            <w:r>
              <w:rPr>
                <w:b/>
                <w:bCs/>
                <w:u w:val="single"/>
              </w:rPr>
              <w:t>Κοινωνική</w:t>
            </w:r>
            <w:proofErr w:type="spellEnd"/>
            <w:r>
              <w:rPr>
                <w:b/>
                <w:bCs/>
                <w:u w:val="single"/>
              </w:rPr>
              <w:t xml:space="preserve"> </w:t>
            </w:r>
            <w:proofErr w:type="spellStart"/>
            <w:r>
              <w:rPr>
                <w:b/>
                <w:bCs/>
                <w:u w:val="single"/>
              </w:rPr>
              <w:t>έντ</w:t>
            </w:r>
            <w:proofErr w:type="spellEnd"/>
            <w:r>
              <w:rPr>
                <w:b/>
                <w:bCs/>
                <w:u w:val="single"/>
              </w:rPr>
              <w:t>αξη και π</w:t>
            </w:r>
            <w:proofErr w:type="spellStart"/>
            <w:r>
              <w:rPr>
                <w:b/>
                <w:bCs/>
                <w:u w:val="single"/>
              </w:rPr>
              <w:t>ροστ</w:t>
            </w:r>
            <w:proofErr w:type="spellEnd"/>
            <w:r>
              <w:rPr>
                <w:b/>
                <w:bCs/>
                <w:u w:val="single"/>
              </w:rPr>
              <w:t>ασία</w:t>
            </w:r>
          </w:p>
        </w:tc>
      </w:tr>
      <w:tr w:rsidR="00A61746" w14:paraId="6DF8FC82"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44CFABA7" w14:textId="77777777" w:rsidR="00A61746" w:rsidRPr="00A61746" w:rsidRDefault="00A61746">
            <w:pPr>
              <w:pStyle w:val="Heading2"/>
              <w:widowControl w:val="0"/>
              <w:spacing w:line="240" w:lineRule="auto"/>
              <w:jc w:val="left"/>
              <w:rPr>
                <w:lang w:val="en-GB"/>
              </w:rPr>
            </w:pPr>
            <w:r>
              <w:rPr>
                <w:rFonts w:ascii="Fira Sans Condensed" w:hAnsi="Fira Sans Condensed"/>
                <w:color w:val="auto"/>
                <w:kern w:val="2"/>
                <w:sz w:val="22"/>
                <w:szCs w:val="22"/>
                <w:lang w:val="el-GR"/>
              </w:rPr>
              <w:lastRenderedPageBreak/>
              <w:t>Οι ανεκπλήρωτες ανάγκες των ατόμων με ΠΣ εκτείνονται πέρα από την υγεία, επηρεάζοντας επίσης την κοινωνική φροντίδα, την απασχόληση και την εκπαίδευση.</w:t>
            </w:r>
          </w:p>
        </w:tc>
      </w:tr>
      <w:tr w:rsidR="00A61746" w:rsidRPr="00A61746" w14:paraId="2FE700C5"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3F59877" w14:textId="77777777" w:rsidR="00A61746" w:rsidRPr="00A61746" w:rsidRDefault="00A61746">
            <w:pPr>
              <w:pStyle w:val="Heading2"/>
              <w:widowControl w:val="0"/>
              <w:spacing w:line="240" w:lineRule="auto"/>
              <w:jc w:val="left"/>
              <w:rPr>
                <w:lang w:val="el-GR"/>
              </w:rPr>
            </w:pPr>
            <w:r>
              <w:rPr>
                <w:rFonts w:ascii="Fira Sans Condensed" w:hAnsi="Fira Sans Condensed"/>
                <w:b w:val="0"/>
                <w:bCs w:val="0"/>
                <w:color w:val="auto"/>
                <w:kern w:val="2"/>
                <w:sz w:val="22"/>
                <w:szCs w:val="22"/>
                <w:lang w:val="el-GR"/>
              </w:rPr>
              <w:t>Η διάγνωση της ΠΣ, συχνά, διαταράσσει βασικά στάδια της ζωής, όπως η εκπαίδευση, η επαγγελματική πορεία και ο οικογενειακός προγραμματισμός. Για παράδειγμα, η ΠΣ διαγιγνώσκεται συνήθως στην ηλικία των 20-40 ετών και περίπου το 75% των ατόμων με ΠΣ είναι γυναίκες.</w:t>
            </w:r>
          </w:p>
        </w:tc>
      </w:tr>
      <w:tr w:rsidR="00A61746" w:rsidRPr="00A61746" w14:paraId="76554C2F"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DD81848" w14:textId="77777777" w:rsidR="00A61746" w:rsidRPr="00A61746" w:rsidRDefault="00A61746">
            <w:pPr>
              <w:pStyle w:val="Heading2"/>
              <w:widowControl w:val="0"/>
              <w:spacing w:line="240" w:lineRule="auto"/>
              <w:jc w:val="left"/>
              <w:rPr>
                <w:lang w:val="el-GR"/>
              </w:rPr>
            </w:pPr>
            <w:r>
              <w:rPr>
                <w:rFonts w:ascii="Fira Sans Condensed" w:hAnsi="Fira Sans Condensed"/>
                <w:b w:val="0"/>
                <w:bCs w:val="0"/>
                <w:color w:val="auto"/>
                <w:kern w:val="2"/>
                <w:sz w:val="22"/>
                <w:szCs w:val="22"/>
                <w:lang w:val="el-GR"/>
              </w:rPr>
              <w:t>Παρόλα αυτά, 21 χώρες στην Ευρώπη εξακολουθούν να μην διαθέτουν επαρκή υποστήριξη στους νέους με ΠΣ ώστε να ολοκληρώσουν την εκπαίδευσή τους, ενώ σε τουλάχιστον επτά χώρες απουσιάζει η νομική προστασία κατά της άδικης απόλυσης από την εργασία. Στην ΕΕ, υπάρχουν μόνο πέντε χώρες όπου τουλάχιστον το 50% των ατόμων με ΠΣ εργάζονται: το Βέλγιο, η Τσεχία, η Δανία, η Φινλανδία και η Γερμανία.</w:t>
            </w:r>
          </w:p>
          <w:p w14:paraId="26286271" w14:textId="41C25AC6" w:rsidR="00A61746" w:rsidRPr="00A61746" w:rsidRDefault="00A61746">
            <w:pPr>
              <w:widowControl w:val="0"/>
              <w:spacing w:after="0" w:line="240" w:lineRule="auto"/>
              <w:rPr>
                <w:lang w:val="el-GR"/>
              </w:rPr>
            </w:pPr>
            <w:r>
              <w:rPr>
                <w:lang w:val="el-GR"/>
              </w:rPr>
              <w:t>Επιπλέον, είναι σημαντικό να αναγνωριστεί ο βασικός ρόλος των οικογενειακών φροντιστών</w:t>
            </w:r>
            <w:r w:rsidR="009311B1">
              <w:rPr>
                <w:rStyle w:val="FootnoteReference"/>
                <w:lang w:val="el-GR"/>
              </w:rPr>
              <w:footnoteReference w:id="2"/>
            </w:r>
            <w:r>
              <w:rPr>
                <w:lang w:val="el-GR"/>
              </w:rPr>
              <w:t>. Χωρίς επαρκή υποστήριξη, οι φροντιστές αγωνίζονται να παρέχουν βοήθεια διατηρώντας παράλληλα μια ενεργή επαγγελματική ζωή και καλή ψυχική υγεία, γεγονός που τους οδηγεί σε πιθανή εξουθένωση και διαταραγμένες σχέσεις.</w:t>
            </w:r>
          </w:p>
        </w:tc>
      </w:tr>
      <w:tr w:rsidR="00A61746" w:rsidRPr="00A61746" w14:paraId="25B63C7D"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FA63117" w14:textId="77777777" w:rsidR="00A61746" w:rsidRPr="00A61746" w:rsidRDefault="00A61746">
            <w:pPr>
              <w:pStyle w:val="Heading2"/>
              <w:widowControl w:val="0"/>
              <w:spacing w:line="240" w:lineRule="auto"/>
              <w:jc w:val="left"/>
              <w:rPr>
                <w:lang w:val="el-GR"/>
              </w:rPr>
            </w:pPr>
            <w:r>
              <w:rPr>
                <w:rFonts w:ascii="Fira Sans Condensed" w:hAnsi="Fira Sans Condensed"/>
                <w:bCs w:val="0"/>
                <w:color w:val="auto"/>
                <w:kern w:val="2"/>
                <w:sz w:val="22"/>
                <w:szCs w:val="22"/>
                <w:lang w:val="el-GR"/>
              </w:rPr>
              <w:t>Καλούμε τους υπευθύνους λήψης αποφάσεων στη χάραξη πολιτικής, να διασφαλίσουν την παροχή υποστήριξης που περιλαμβάνει την κοινωνική ένταξη, την οικονομική βοήθεια και τις προσαρμογές προσβασιμότητας για άτομα που πάσχουν από ΠΣ και άλλες προοδευτικές νευρολογικές παθήσεις. Τα μέτρα αυτά θα δώσουν τη δυνατότητα στα άτομα που πάσχουν από ΠΣ να συνεχίσουν την εκπαίδευσή τους, να διατηρήσουν την απασχόληση και να συμβάλουν ενεργά στην κοινωνία, με γνώμονα τις αρχές των ανθρωπίνων δικαιωμάτων, της ισότητας, της κοινωνικής ένταξης και της κοινωνικής προστασίας.</w:t>
            </w:r>
          </w:p>
        </w:tc>
      </w:tr>
      <w:tr w:rsidR="00A61746" w:rsidRPr="00A61746" w14:paraId="60952CDC"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0C48D161" w14:textId="77777777" w:rsidR="00A61746" w:rsidRPr="00A61746" w:rsidRDefault="00A61746">
            <w:pPr>
              <w:widowControl w:val="0"/>
              <w:spacing w:after="0" w:line="240" w:lineRule="auto"/>
              <w:jc w:val="left"/>
              <w:rPr>
                <w:lang w:val="el-GR"/>
              </w:rPr>
            </w:pPr>
            <w:r>
              <w:rPr>
                <w:b/>
                <w:bCs/>
                <w:u w:val="single"/>
                <w:lang w:val="el-GR"/>
              </w:rPr>
              <w:t>Αντίκτυπος στην οικονομία και το εργατικό δυναμικό</w:t>
            </w:r>
          </w:p>
        </w:tc>
      </w:tr>
      <w:tr w:rsidR="00A61746" w:rsidRPr="00A61746" w14:paraId="42082CB1"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4D4C7F8" w14:textId="77777777" w:rsidR="00A61746" w:rsidRPr="00A61746" w:rsidRDefault="00A61746">
            <w:pPr>
              <w:pStyle w:val="Heading2"/>
              <w:widowControl w:val="0"/>
              <w:spacing w:line="240" w:lineRule="auto"/>
              <w:jc w:val="left"/>
              <w:rPr>
                <w:lang w:val="el-GR"/>
              </w:rPr>
            </w:pPr>
            <w:r>
              <w:rPr>
                <w:rFonts w:ascii="Fira Sans Condensed" w:hAnsi="Fira Sans Condensed"/>
                <w:b w:val="0"/>
                <w:bCs w:val="0"/>
                <w:color w:val="auto"/>
                <w:kern w:val="2"/>
                <w:sz w:val="22"/>
                <w:szCs w:val="22"/>
                <w:lang w:val="el-GR"/>
              </w:rPr>
              <w:t>Στα άτομα που πάσχουν από ΠΣ, συγκαταλέγονται επίσης δυναμικοί νέοι επαγγελματίες και άτομα στην ακμή της σταδιοδρομίας τους που μπορούν να συμβάλουν στο ευρωπαϊκό εργατικό δυναμικό, με την κατάλληλη υποστήριξη. Ωστόσο, τα δεδομένα που συλλέχθηκαν από 15 χώρες σε ολόκληρη την Ευρώπη έδειξαν ότι, μόνο το 48% των ατόμων με ΠΣ, εργάζονται με  πλήρη ή μερική απασχόληση.</w:t>
            </w:r>
          </w:p>
        </w:tc>
      </w:tr>
      <w:tr w:rsidR="00A61746" w:rsidRPr="00A61746" w14:paraId="7DC3519A"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043EF17F" w14:textId="77777777" w:rsidR="00A61746" w:rsidRPr="00A61746" w:rsidRDefault="00A61746">
            <w:pPr>
              <w:pStyle w:val="Heading2"/>
              <w:widowControl w:val="0"/>
              <w:spacing w:line="240" w:lineRule="auto"/>
              <w:jc w:val="left"/>
              <w:rPr>
                <w:lang w:val="el-GR"/>
              </w:rPr>
            </w:pPr>
            <w:r>
              <w:rPr>
                <w:rFonts w:ascii="Fira Sans Condensed" w:hAnsi="Fira Sans Condensed"/>
                <w:b w:val="0"/>
                <w:bCs w:val="0"/>
                <w:color w:val="auto"/>
                <w:kern w:val="2"/>
                <w:sz w:val="22"/>
                <w:szCs w:val="22"/>
                <w:lang w:val="el-GR"/>
              </w:rPr>
              <w:t>Η αντιμετώπιση αυτών των ανεκπλήρωτων αναγκών θα επιτρέψει τη διατήρηση και την αξιοποίηση ταλέντων και δεξιοτήτων, προωθώντας παράλληλα ένα θετικό αντίκτυπο στην κοινωνία, μειώνοντας την πίεση στα συστήματα ασφάλισης αναπηρίας και ανεργίας.</w:t>
            </w:r>
          </w:p>
        </w:tc>
      </w:tr>
      <w:tr w:rsidR="00A61746" w:rsidRPr="00A61746" w14:paraId="1CEAA6BE"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FE91C2D" w14:textId="77777777" w:rsidR="00A61746" w:rsidRPr="00A61746" w:rsidRDefault="00A61746">
            <w:pPr>
              <w:pStyle w:val="Heading2"/>
              <w:widowControl w:val="0"/>
              <w:spacing w:line="240" w:lineRule="auto"/>
              <w:jc w:val="left"/>
              <w:rPr>
                <w:lang w:val="el-GR"/>
              </w:rPr>
            </w:pPr>
            <w:r>
              <w:rPr>
                <w:rFonts w:ascii="Fira Sans Condensed" w:hAnsi="Fira Sans Condensed"/>
                <w:color w:val="auto"/>
                <w:kern w:val="2"/>
                <w:sz w:val="22"/>
                <w:szCs w:val="22"/>
                <w:lang w:val="el-GR"/>
              </w:rPr>
              <w:t>Για την ενδυνάμωση των νέων με αναπηρία, συμπεριλαμβανομένων εκείνων με ΠΣ, ζητούμε την επέκταση της απασχόλησης και της εκπαιδευτικής υποστήριξης μέσω υφιστάμενων Ευρωπαϊκών σπουδών και προγραμμάτων απασχόλησης. Η ευαισθητοποίηση σχετικά με νευρολογικές παθήσεις όπως η ΠΣ, στον χώρο εργασίας είναι απαραίτητη, καθιστώντας τους εργοδότες υπόλογους για την κοινωνική τους ευθύνη. Αυτό περιλαμβάνει τη διασφάλιση της εφαρμογής εκπαιδευτικών προγραμμάτων που παρέχονται από οργανώσεις της κοινωνίας των πολιτών και άτομα που πάσχουν από ΠΣ.</w:t>
            </w:r>
          </w:p>
        </w:tc>
      </w:tr>
      <w:tr w:rsidR="00A61746" w:rsidRPr="00A61746" w14:paraId="220329DF"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62B77787" w14:textId="77777777" w:rsidR="00A61746" w:rsidRPr="00A61746" w:rsidRDefault="00A61746">
            <w:pPr>
              <w:pStyle w:val="Heading2"/>
              <w:widowControl w:val="0"/>
              <w:spacing w:line="240" w:lineRule="auto"/>
              <w:jc w:val="left"/>
              <w:rPr>
                <w:rFonts w:ascii="Fira Sans SemiBold" w:eastAsia="Yu Gothic Light" w:hAnsi="Fira Sans SemiBold" w:cs="Times New Roman"/>
                <w:bCs w:val="0"/>
                <w:color w:val="4BABBC"/>
                <w:sz w:val="8"/>
                <w:szCs w:val="8"/>
                <w:lang w:val="el-GR"/>
              </w:rPr>
            </w:pPr>
          </w:p>
          <w:p w14:paraId="337170DA" w14:textId="77777777" w:rsidR="00A61746" w:rsidRPr="00A61746" w:rsidRDefault="00A61746">
            <w:pPr>
              <w:pStyle w:val="Heading2"/>
              <w:widowControl w:val="0"/>
              <w:spacing w:line="240" w:lineRule="auto"/>
              <w:jc w:val="left"/>
              <w:rPr>
                <w:lang w:val="el-GR"/>
              </w:rPr>
            </w:pPr>
            <w:r>
              <w:rPr>
                <w:rFonts w:ascii="Fira Sans SemiBold" w:eastAsia="Yu Gothic Light" w:hAnsi="Fira Sans SemiBold" w:cs="Times New Roman"/>
                <w:bCs w:val="0"/>
                <w:color w:val="4BABBC"/>
                <w:sz w:val="28"/>
                <w:szCs w:val="24"/>
                <w:lang w:val="el-GR"/>
              </w:rPr>
              <w:t>Βελτίωση της Ποιότητας Ζωής των Ατόμων Που Πάσχουν από ΠΣ Μέσω της Ενοποίησης των υφισταμένων δράσεων της ΕΕ</w:t>
            </w:r>
          </w:p>
        </w:tc>
      </w:tr>
      <w:tr w:rsidR="00A61746" w:rsidRPr="00A61746" w14:paraId="38AC9E91"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83C343A" w14:textId="77777777" w:rsidR="00A61746" w:rsidRPr="00A61746" w:rsidRDefault="00A61746">
            <w:pPr>
              <w:pStyle w:val="Heading2"/>
              <w:widowControl w:val="0"/>
              <w:spacing w:line="240" w:lineRule="auto"/>
              <w:jc w:val="left"/>
              <w:rPr>
                <w:lang w:val="el-GR"/>
              </w:rPr>
            </w:pPr>
            <w:r>
              <w:rPr>
                <w:rFonts w:ascii="Fira Sans Condensed" w:hAnsi="Fira Sans Condensed"/>
                <w:b w:val="0"/>
                <w:bCs w:val="0"/>
                <w:color w:val="auto"/>
                <w:kern w:val="2"/>
                <w:sz w:val="22"/>
                <w:szCs w:val="22"/>
                <w:lang w:val="el-GR"/>
              </w:rPr>
              <w:t xml:space="preserve">Τα τελευταία χρόνια, η ΕΕ έχει καταβάλει θετικές προσπάθειες, για να θέσει τα θεμέλια ως προς την υλοποίηση των δικαιωμάτων, των ατόμων με αναπηρία και με χρόνιες παθήσεις. Ωστόσο, οι επίμονες προκλήσεις για την αντιμετώπιση της ΠΣ απαιτούν επίμονη προσέγγιση. Ως εκ τούτου, καλούμε τους υπευθύνους </w:t>
            </w:r>
            <w:r>
              <w:rPr>
                <w:rFonts w:ascii="Fira Sans Condensed" w:hAnsi="Fira Sans Condensed"/>
                <w:b w:val="0"/>
                <w:color w:val="auto"/>
                <w:kern w:val="2"/>
                <w:sz w:val="22"/>
                <w:szCs w:val="22"/>
                <w:lang w:val="el-GR"/>
              </w:rPr>
              <w:t>λήψης αποφάσεων στη χάραξη πολιτικής</w:t>
            </w:r>
            <w:r>
              <w:rPr>
                <w:rFonts w:ascii="Fira Sans Condensed" w:hAnsi="Fira Sans Condensed"/>
                <w:bCs w:val="0"/>
                <w:color w:val="auto"/>
                <w:kern w:val="2"/>
                <w:sz w:val="22"/>
                <w:szCs w:val="22"/>
                <w:lang w:val="el-GR"/>
              </w:rPr>
              <w:t xml:space="preserve">, </w:t>
            </w:r>
            <w:r>
              <w:rPr>
                <w:rFonts w:ascii="Fira Sans Condensed" w:hAnsi="Fira Sans Condensed"/>
                <w:b w:val="0"/>
                <w:bCs w:val="0"/>
                <w:color w:val="auto"/>
                <w:kern w:val="2"/>
                <w:sz w:val="22"/>
                <w:szCs w:val="22"/>
                <w:lang w:val="el-GR"/>
              </w:rPr>
              <w:t xml:space="preserve"> να υλοποιήσουν αλλαγές για υγιέστερα και βιώσιμα συστήματα υγείας και κοινωνικής φροντίδας, που υποστηρίζουν πραγματικά, όσους πάσχουν από ΠΣ και άλλες νευρολογικές παθήσεις και να αναβαθμίσουν περαιτέρω τα δικαιώματα και την ευημερία των ατόμων που ζουν με ΠΣ, βασιζόμενοι στα ακόλουθα μέσα:</w:t>
            </w:r>
          </w:p>
        </w:tc>
      </w:tr>
      <w:tr w:rsidR="00A61746" w:rsidRPr="00A61746" w14:paraId="3850D236"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075DF4D2" w14:textId="77777777" w:rsidR="00A61746" w:rsidRPr="00A61746" w:rsidRDefault="00A61746">
            <w:pPr>
              <w:pStyle w:val="Heading2"/>
              <w:widowControl w:val="0"/>
              <w:numPr>
                <w:ilvl w:val="0"/>
                <w:numId w:val="2"/>
              </w:numPr>
              <w:spacing w:line="240" w:lineRule="auto"/>
              <w:ind w:left="626" w:hanging="283"/>
              <w:jc w:val="left"/>
              <w:rPr>
                <w:lang w:val="el-GR"/>
              </w:rPr>
            </w:pPr>
            <w:r>
              <w:rPr>
                <w:rFonts w:ascii="Fira Sans Condensed" w:hAnsi="Fira Sans Condensed"/>
                <w:color w:val="auto"/>
                <w:kern w:val="2"/>
                <w:sz w:val="22"/>
                <w:szCs w:val="22"/>
                <w:lang w:val="el-GR"/>
              </w:rPr>
              <w:t>Χάρτης των Θεμελιωδών Δικαιωμάτων και Ευρωπαϊκός Πυλώνας Κοινωνικών Δικαιωμάτων:</w:t>
            </w:r>
          </w:p>
          <w:p w14:paraId="3A85C4C0" w14:textId="77777777" w:rsidR="00A61746" w:rsidRPr="00A61746" w:rsidRDefault="00A61746">
            <w:pPr>
              <w:widowControl w:val="0"/>
              <w:spacing w:after="0" w:line="240" w:lineRule="auto"/>
              <w:ind w:left="626" w:hanging="142"/>
              <w:rPr>
                <w:lang w:val="el-GR"/>
              </w:rPr>
            </w:pPr>
            <w:r>
              <w:rPr>
                <w:lang w:val="el-GR"/>
              </w:rPr>
              <w:t xml:space="preserve">  Διασφάλιση των θεμελιωδών δικαιωμάτων των ηλικιωμένων και των ατόμων με αναπηρία, με έμφαση στην αξιοπρέπεια, την ανεξαρτησία και την ενεργό κοινωνική συμμετοχή.</w:t>
            </w:r>
          </w:p>
          <w:p w14:paraId="38D9D6E3" w14:textId="77777777" w:rsidR="00A61746" w:rsidRPr="00A61746" w:rsidRDefault="00A61746">
            <w:pPr>
              <w:pStyle w:val="ListParagraph"/>
              <w:widowControl w:val="0"/>
              <w:numPr>
                <w:ilvl w:val="0"/>
                <w:numId w:val="2"/>
              </w:numPr>
              <w:spacing w:after="0" w:line="240" w:lineRule="auto"/>
              <w:ind w:left="626" w:hanging="283"/>
              <w:rPr>
                <w:lang w:val="el-GR"/>
              </w:rPr>
            </w:pPr>
            <w:r>
              <w:rPr>
                <w:b/>
                <w:bCs/>
                <w:lang w:val="el-GR"/>
              </w:rPr>
              <w:t>Πρωτοβουλία για τις μη μεταδοτικές νόσους «Υγιέστεροι μαζί»</w:t>
            </w:r>
            <w:r>
              <w:rPr>
                <w:lang w:val="el-GR"/>
              </w:rPr>
              <w:t>: Ένα σημαντικό βήμα για την αντιμετώπιση δια-τομεακών αναγκών, αν και δεν αφορά ειδικά την ΠΣ, αλλά αφορά κρίσιμους τομείς όπως η υψηλής ποιότητας θεραπεία, η αποκατάσταση και οι υπηρεσίες υποστήριξης.</w:t>
            </w:r>
          </w:p>
          <w:p w14:paraId="181593D7" w14:textId="77777777" w:rsidR="00A61746" w:rsidRPr="00A61746" w:rsidRDefault="00A61746">
            <w:pPr>
              <w:pStyle w:val="ListParagraph"/>
              <w:widowControl w:val="0"/>
              <w:numPr>
                <w:ilvl w:val="0"/>
                <w:numId w:val="2"/>
              </w:numPr>
              <w:spacing w:after="0" w:line="240" w:lineRule="auto"/>
              <w:ind w:left="626" w:hanging="283"/>
              <w:rPr>
                <w:lang w:val="el-GR"/>
              </w:rPr>
            </w:pPr>
            <w:r>
              <w:rPr>
                <w:b/>
                <w:bCs/>
                <w:lang w:val="el-GR"/>
              </w:rPr>
              <w:t>Στρατηγική της ΕΕ για τα δικαιώματα των ατόμων με αναπηρία (2021-2030):</w:t>
            </w:r>
            <w:r>
              <w:rPr>
                <w:lang w:val="el-GR"/>
              </w:rPr>
              <w:t xml:space="preserve"> Στοχευμένη </w:t>
            </w:r>
            <w:r>
              <w:rPr>
                <w:lang w:val="el-GR"/>
              </w:rPr>
              <w:lastRenderedPageBreak/>
              <w:t>δέσμευση, ευθυγραμμισμένη με τα ανθρώπινα δικαιώματα, την ισότητα και την κοινωνική ένταξη, με πρωτοβουλίες όπως η δέσμη μέτρων για την Απασχόληση των Ατόμων με Αναπηρία και το επικείμενο πλαίσιο για τις Κοινωνικές Υπηρεσίες Αριστείας (αναμένεται το 2024).</w:t>
            </w:r>
          </w:p>
          <w:p w14:paraId="0ED55CA0" w14:textId="77777777" w:rsidR="00A61746" w:rsidRPr="00A61746" w:rsidRDefault="00A61746">
            <w:pPr>
              <w:pStyle w:val="ListParagraph"/>
              <w:widowControl w:val="0"/>
              <w:numPr>
                <w:ilvl w:val="0"/>
                <w:numId w:val="2"/>
              </w:numPr>
              <w:spacing w:after="0" w:line="240" w:lineRule="auto"/>
              <w:ind w:left="626" w:hanging="283"/>
              <w:rPr>
                <w:lang w:val="el-GR"/>
              </w:rPr>
            </w:pPr>
            <w:r>
              <w:rPr>
                <w:b/>
                <w:bCs/>
                <w:lang w:val="el-GR"/>
              </w:rPr>
              <w:t>Ευρωπαϊκή Στρατηγική Φροντίδας της Ευρωπαϊκής Επιτροπής</w:t>
            </w:r>
            <w:r>
              <w:rPr>
                <w:lang w:val="el-GR"/>
              </w:rPr>
              <w:t>: Μια ολοκληρωμένη προσέγγιση που καλύπτει την υγεία, την κοινωνική φροντίδα, την απασχόληση, την αναπηρία και την ισότητα, δίνοντας ιδιαίτερη έμφαση στις προκλήσεις της μακροχρόνιας φροντίδας και στον ζωτικό ρόλο των επίσημων και άτυπων φροντιστών.</w:t>
            </w:r>
          </w:p>
          <w:p w14:paraId="2A4F1E79" w14:textId="77777777" w:rsidR="00A61746" w:rsidRPr="00A61746" w:rsidRDefault="00A61746">
            <w:pPr>
              <w:pStyle w:val="ListParagraph"/>
              <w:widowControl w:val="0"/>
              <w:numPr>
                <w:ilvl w:val="0"/>
                <w:numId w:val="2"/>
              </w:numPr>
              <w:spacing w:after="0" w:line="240" w:lineRule="auto"/>
              <w:ind w:left="626" w:hanging="283"/>
              <w:rPr>
                <w:lang w:val="el-GR"/>
              </w:rPr>
            </w:pPr>
            <w:r>
              <w:rPr>
                <w:b/>
                <w:bCs/>
                <w:lang w:val="el-GR"/>
              </w:rPr>
              <w:t>Κίνητρα της ΕΕ για έρευνα και καινοτομία:</w:t>
            </w:r>
            <w:r>
              <w:rPr>
                <w:lang w:val="el-GR"/>
              </w:rPr>
              <w:t xml:space="preserve"> Μέσω προγραμμάτων όπως το πρόγραμμα «Ορίζων Ευρώπη» και το EU4Health, η ΕΕ έχει σημειώσει σημαντική πρόοδο όσον αφορά την παροχή κινήτρων΄, για έρευνα και καινοτομία, στον τομέα των σπάνιων νόσων, συμπεριλαμβανομένης της ΠΣ, διαδραματίζοντας καίριο ρόλο στην προώθηση της θεραπείας, στη διαχείριση των συμπτωμάτων και στην ενίσχυση της ελπίδας για βελτίωση της ποιότητας ζωής</w:t>
            </w:r>
          </w:p>
        </w:tc>
      </w:tr>
      <w:tr w:rsidR="00A61746" w:rsidRPr="00A61746" w14:paraId="1D4BDA69"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E0768CA" w14:textId="77777777" w:rsidR="00A61746" w:rsidRPr="00A61746" w:rsidRDefault="00A61746">
            <w:pPr>
              <w:pStyle w:val="Heading2"/>
              <w:widowControl w:val="0"/>
              <w:spacing w:line="240" w:lineRule="auto"/>
              <w:jc w:val="left"/>
              <w:rPr>
                <w:lang w:val="el-GR"/>
              </w:rPr>
            </w:pPr>
            <w:r>
              <w:rPr>
                <w:rFonts w:ascii="Fira Sans Condensed" w:hAnsi="Fira Sans Condensed"/>
                <w:b w:val="0"/>
                <w:bCs w:val="0"/>
                <w:color w:val="auto"/>
                <w:kern w:val="2"/>
                <w:sz w:val="22"/>
                <w:szCs w:val="22"/>
                <w:lang w:val="el-GR"/>
              </w:rPr>
              <w:lastRenderedPageBreak/>
              <w:t>Απαιτείται ακόμη συνεχής δέσμευση και εκτεταμένες προσπάθειες για την αντιμετώπιση των ανεκπλήρωτων αναγκών όσων πάσχουν από ΠΣ σε ολόκληρη την Ευρώπη.</w:t>
            </w:r>
          </w:p>
        </w:tc>
      </w:tr>
      <w:tr w:rsidR="00A61746" w:rsidRPr="00A61746" w14:paraId="414EB50B"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7A07253" w14:textId="77777777" w:rsidR="00A61746" w:rsidRDefault="00A61746">
            <w:pPr>
              <w:pStyle w:val="Heading1"/>
              <w:widowControl w:val="0"/>
              <w:ind w:left="59" w:firstLine="0"/>
              <w:jc w:val="center"/>
            </w:pPr>
            <w:r w:rsidRPr="00A61746">
              <w:rPr>
                <w:lang w:val="el-GR"/>
              </w:rPr>
              <w:t>Καθορισμός</w:t>
            </w:r>
            <w:r>
              <w:rPr>
                <w:lang w:val="el-GR"/>
              </w:rPr>
              <w:t xml:space="preserve"> πορείας: Προτεραιότητες για την περίοδο 2024-2029</w:t>
            </w:r>
          </w:p>
        </w:tc>
      </w:tr>
      <w:tr w:rsidR="00A61746" w14:paraId="484C8ED5"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0350A813" w14:textId="77777777" w:rsidR="00A61746" w:rsidRDefault="00A61746">
            <w:pPr>
              <w:widowControl w:val="0"/>
              <w:spacing w:after="0" w:line="240" w:lineRule="auto"/>
              <w:jc w:val="left"/>
            </w:pPr>
            <w:r>
              <w:rPr>
                <w:lang w:val="el-GR"/>
              </w:rPr>
              <w:t>Για την αντιμετώπιση μιας τόσο  κατακερματισμένης πολιτικής απάντησης για την ΠΣ, απαιτείται μια ενιαία, ολοκληρωμένη και δια-τομεακή στρατηγική. Ως εκ τούτου, ζητάμε:</w:t>
            </w:r>
          </w:p>
        </w:tc>
      </w:tr>
      <w:tr w:rsidR="00A61746" w:rsidRPr="00A61746" w14:paraId="1F1F3405"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AEE32C9" w14:textId="77777777" w:rsidR="00A61746" w:rsidRPr="00A61746" w:rsidRDefault="00A61746">
            <w:pPr>
              <w:pStyle w:val="Heading2"/>
              <w:widowControl w:val="0"/>
              <w:numPr>
                <w:ilvl w:val="0"/>
                <w:numId w:val="4"/>
              </w:numPr>
              <w:spacing w:line="240" w:lineRule="auto"/>
              <w:jc w:val="left"/>
              <w:rPr>
                <w:lang w:val="el-GR"/>
              </w:rPr>
            </w:pPr>
            <w:r>
              <w:rPr>
                <w:rFonts w:ascii="Fira Sans Condensed" w:hAnsi="Fira Sans Condensed"/>
                <w:color w:val="auto"/>
                <w:kern w:val="2"/>
                <w:sz w:val="22"/>
                <w:szCs w:val="22"/>
                <w:lang w:val="el-GR"/>
              </w:rPr>
              <w:t xml:space="preserve">Να ενισχύσουν, έγκαιρη και οικονομικά προσιτή παροχή φροντίδας και τις υψηλής ποιότητας υπηρεσίες αποκατάστασης ακρογωνιαίο λίθο του επικείμενου έργου των θεσμικών οργάνων της ΕΕ, </w:t>
            </w:r>
            <w:r>
              <w:rPr>
                <w:rFonts w:ascii="Fira Sans Condensed" w:hAnsi="Fira Sans Condensed"/>
                <w:b w:val="0"/>
                <w:bCs w:val="0"/>
                <w:color w:val="auto"/>
                <w:kern w:val="2"/>
                <w:sz w:val="22"/>
                <w:szCs w:val="22"/>
                <w:lang w:val="el-GR"/>
              </w:rPr>
              <w:t xml:space="preserve">συμπεριλαμβανομένου του πλαισίου για τις Κοινωνικές Υπηρεσίες Αριστείας για τα άτομα με αναπηρία. Αυτό διασφαλίζεται μέσω της καθιέρωσης </w:t>
            </w:r>
            <w:r>
              <w:rPr>
                <w:rFonts w:ascii="Fira Sans Condensed" w:hAnsi="Fira Sans Condensed"/>
                <w:color w:val="auto"/>
                <w:kern w:val="2"/>
                <w:sz w:val="22"/>
                <w:szCs w:val="22"/>
                <w:lang w:val="el-GR"/>
              </w:rPr>
              <w:t>εξειδικευμένων προγραμμάτων κατάρτισης σε επίπεδο ΕΕ για παρόχους κοινωνικής περίθαλψης και επαγγελματίες υγείας</w:t>
            </w:r>
            <w:r>
              <w:rPr>
                <w:rFonts w:ascii="Fira Sans Condensed" w:hAnsi="Fira Sans Condensed"/>
                <w:b w:val="0"/>
                <w:bCs w:val="0"/>
                <w:color w:val="auto"/>
                <w:kern w:val="2"/>
                <w:sz w:val="22"/>
                <w:szCs w:val="22"/>
                <w:lang w:val="el-GR"/>
              </w:rPr>
              <w:t>. Τα εν λόγω προγράμματα κατάρτισης εμπνέονται από υφιστάμενα επιτυχημένα έργα χρηματοδοτούμενα από την ΕΕ, όπως η Διαειδικευμένη Κατάρτιση για τον Καρκίνο (INTERACT-EUROPE) που ξεκίνησε στο πλαίσιο του ευρωπαϊκού σχεδίου για την Καταπολέμηση του Καρκίνου σε ολόκληρη την Ευρώπη.</w:t>
            </w:r>
            <w:r>
              <w:rPr>
                <w:rFonts w:ascii="Fira Sans Condensed" w:hAnsi="Fira Sans Condensed"/>
                <w:color w:val="auto"/>
                <w:kern w:val="2"/>
                <w:sz w:val="22"/>
                <w:szCs w:val="22"/>
                <w:lang w:val="el-GR"/>
              </w:rPr>
              <w:t xml:space="preserve"> Επιπλέον, υπάρχει πιεστική ανάγκη να συμπεριληφθεί με συνέπεια η ενισχυμένη εκπαίδευση σχετικά με την ΠΣ και άλλες νευρολογικές παθήσεις στα προγράμματα γενικής εκπαίδευσης για επαγγελματίες υγείας. </w:t>
            </w:r>
            <w:r>
              <w:rPr>
                <w:rFonts w:ascii="Fira Sans Condensed" w:hAnsi="Fira Sans Condensed"/>
                <w:b w:val="0"/>
                <w:bCs w:val="0"/>
                <w:color w:val="auto"/>
                <w:kern w:val="2"/>
                <w:sz w:val="22"/>
                <w:szCs w:val="22"/>
                <w:lang w:val="el-GR"/>
              </w:rPr>
              <w:t>Αυτό είναι ιδιαίτερα σημαντικό για τους γενικούς γιατρούς, που συχνά λειτουργούν ως  το πρώτο σημείο επαφής για τα άτομα με ΠΣ.</w:t>
            </w:r>
          </w:p>
        </w:tc>
      </w:tr>
      <w:tr w:rsidR="00A61746" w:rsidRPr="00A61746" w14:paraId="6726EFCE"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439C8855" w14:textId="77777777" w:rsidR="00A61746" w:rsidRPr="00A61746" w:rsidRDefault="00A61746">
            <w:pPr>
              <w:pStyle w:val="Heading2"/>
              <w:widowControl w:val="0"/>
              <w:numPr>
                <w:ilvl w:val="0"/>
                <w:numId w:val="4"/>
              </w:numPr>
              <w:spacing w:line="240" w:lineRule="auto"/>
              <w:jc w:val="left"/>
              <w:rPr>
                <w:lang w:val="el-GR"/>
              </w:rPr>
            </w:pPr>
            <w:r>
              <w:rPr>
                <w:rFonts w:ascii="Fira Sans Condensed" w:hAnsi="Fira Sans Condensed"/>
                <w:color w:val="auto"/>
                <w:kern w:val="2"/>
                <w:sz w:val="22"/>
                <w:szCs w:val="22"/>
                <w:lang w:val="el-GR"/>
              </w:rPr>
              <w:t xml:space="preserve">Ενδυνάμωση του ευρωπαϊκού εργατικού δυναμικού μέσω πρακτικών απασχόλησης και εκπαίδευσης χωρίς αποκλεισμούς και ενισχυμένης κοινωνικής υποστήριξης. </w:t>
            </w:r>
            <w:r>
              <w:rPr>
                <w:rFonts w:ascii="Fira Sans Condensed" w:hAnsi="Fira Sans Condensed"/>
                <w:b w:val="0"/>
                <w:bCs w:val="0"/>
                <w:color w:val="auto"/>
                <w:kern w:val="2"/>
                <w:sz w:val="22"/>
                <w:szCs w:val="22"/>
                <w:lang w:val="el-GR"/>
              </w:rPr>
              <w:t>Η παροχή κινήτρων για την πρόσληψη και τη διατήρηση ατόμων με αναπηρία στην απασχόληση και η ενίσχυση της νομικής προστασίας έναντι της απόλυσης λόγω προβλήματος υγείας και η ευθυγράμμιση με τα προσεχή παραδοτέα της δέσμης μέτρων για την απασχόληση των ατόμων με αναπηρία είναι ουσιαστικής σημασίας.</w:t>
            </w:r>
            <w:r w:rsidRPr="00A61746">
              <w:rPr>
                <w:lang w:val="el-GR"/>
              </w:rPr>
              <w:t xml:space="preserve"> </w:t>
            </w:r>
            <w:r>
              <w:rPr>
                <w:rFonts w:ascii="Fira Sans Condensed" w:hAnsi="Fira Sans Condensed"/>
                <w:b w:val="0"/>
                <w:bCs w:val="0"/>
                <w:color w:val="auto"/>
                <w:kern w:val="2"/>
                <w:sz w:val="22"/>
                <w:szCs w:val="22"/>
                <w:lang w:val="el-GR"/>
              </w:rPr>
              <w:t xml:space="preserve">Η προώθηση ενός περιβάλλοντος χωρίς αποκλεισμούς, που επιτρέπει στα άτομα με ΠΣ και άλλες χρόνιες παθήσεις να ακολουθήσουν σταδιοδρομία και να έχουν πρόσβαση σε διά βίου μάθησης προγράμματα, μπορεί να επιτευχθεί με τη θέσπιση εναρμονισμένου πλαισίου για ευέλικτη εργασία, την προσφορά επιλογών ηλεκτρονικής μάθησης υψηλής ποιότητας, την επέκταση των δραστηριοτήτων εικονικών ανταλλαγών ERASMUS+ για ενήλικες εκπαιδευόμενους με περιορισμένη κινητικότητα και την εφαρμογή σαφών κριτηρίων για ενιαία προστασία από την απόλυση λόγω προβλημάτων υγείας. Είναι επίσης ζωτικής σημασίας να ενθαρρυνθούν τα Κράτη Μέλη να δημιουργήσουν </w:t>
            </w:r>
            <w:r>
              <w:rPr>
                <w:rFonts w:ascii="Fira Sans Condensed" w:hAnsi="Fira Sans Condensed"/>
                <w:color w:val="auto"/>
                <w:kern w:val="2"/>
                <w:sz w:val="22"/>
                <w:szCs w:val="22"/>
                <w:lang w:val="el-GR"/>
              </w:rPr>
              <w:t>ειδικό ταμείο για την αύξηση της οικονομικής ασφάλειας για τα άτομα με ΠΣ και άλλες χρόνιες παθήσεις</w:t>
            </w:r>
            <w:r>
              <w:rPr>
                <w:rFonts w:ascii="Fira Sans Condensed" w:hAnsi="Fira Sans Condensed"/>
                <w:b w:val="0"/>
                <w:bCs w:val="0"/>
                <w:color w:val="auto"/>
                <w:kern w:val="2"/>
                <w:sz w:val="22"/>
                <w:szCs w:val="22"/>
                <w:lang w:val="el-GR"/>
              </w:rPr>
              <w:t xml:space="preserve"> που πρέπει να μειώσουν τον χρόνο εργασίας ή να εγκαταλείψουν την εργασία τους. Η πρωτοβουλία αυτή θα μπορούσε να υλοποιηθεί με την αξιοποίηση και την επέκταση υφιστάμενων ταμείων, όπως το Ευρωπαϊκό Κοινωνικό Ταμείο.</w:t>
            </w:r>
          </w:p>
        </w:tc>
      </w:tr>
      <w:tr w:rsidR="00A61746" w:rsidRPr="00A61746" w14:paraId="1116E2F8"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39EE07C" w14:textId="77777777" w:rsidR="00A61746" w:rsidRPr="00A61746" w:rsidRDefault="00A61746">
            <w:pPr>
              <w:pStyle w:val="ListParagraph"/>
              <w:widowControl w:val="0"/>
              <w:numPr>
                <w:ilvl w:val="0"/>
                <w:numId w:val="5"/>
              </w:numPr>
              <w:spacing w:after="0" w:line="240" w:lineRule="auto"/>
              <w:jc w:val="left"/>
              <w:rPr>
                <w:lang w:val="el-GR"/>
              </w:rPr>
            </w:pPr>
            <w:r>
              <w:rPr>
                <w:b/>
                <w:bCs/>
                <w:lang w:val="el-GR"/>
              </w:rPr>
              <w:t>Παροχή κινήτρων για τη συλλογή δεδομένων και την έρευνα σχετικά με την ΠΣ</w:t>
            </w:r>
            <w:r>
              <w:rPr>
                <w:lang w:val="el-GR"/>
              </w:rPr>
              <w:t xml:space="preserve"> μέσω υφιστάμενων χρηματοδοτικών προγραμμάτων της ΕΕ και με τη στήριξη της ανάπτυξης της υποδομής για τη συλλογή και την ανταλλαγή πραγματικών δεδομένων μέσω του επικείμενου Ευρωπαϊκού Χώρου Δεδομένων για την Υγεία. Αυτό θα πρέπει να αποσκοπεί στην προώθηση μιας συνεργατικής προσέγγισης για την ενίσχυση της κατανόησης και της διαχείρισης της ΠΣ σε ευρύτερη κλίμακα και να διασφαλίζει ότι η πρόοδος στην έρευνα μεταφράζεται σε απτά οφέλη για τα άτομα που πάσχουν από ΠΣ και στην εξεύρεση θεραπείας.</w:t>
            </w:r>
          </w:p>
        </w:tc>
      </w:tr>
      <w:tr w:rsidR="00A61746" w14:paraId="1A3D9461"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38E6ECD" w14:textId="77777777" w:rsidR="00A61746" w:rsidRDefault="00A61746">
            <w:pPr>
              <w:pStyle w:val="Heading1"/>
              <w:widowControl w:val="0"/>
              <w:jc w:val="left"/>
            </w:pPr>
            <w:proofErr w:type="spellStart"/>
            <w:r>
              <w:rPr>
                <w:lang w:val="en-GB"/>
              </w:rPr>
              <w:lastRenderedPageBreak/>
              <w:t>Δέσμευση</w:t>
            </w:r>
            <w:proofErr w:type="spellEnd"/>
            <w:r>
              <w:rPr>
                <w:lang w:val="en-GB"/>
              </w:rPr>
              <w:t xml:space="preserve"> </w:t>
            </w:r>
            <w:proofErr w:type="spellStart"/>
            <w:r>
              <w:rPr>
                <w:lang w:val="en-GB"/>
              </w:rPr>
              <w:t>των</w:t>
            </w:r>
            <w:proofErr w:type="spellEnd"/>
            <w:r>
              <w:rPr>
                <w:lang w:val="en-GB"/>
              </w:rPr>
              <w:t xml:space="preserve"> </w:t>
            </w:r>
            <w:r>
              <w:rPr>
                <w:lang w:val="el-GR"/>
              </w:rPr>
              <w:t>Ε</w:t>
            </w:r>
            <w:proofErr w:type="spellStart"/>
            <w:r>
              <w:rPr>
                <w:lang w:val="en-GB"/>
              </w:rPr>
              <w:t>υρω</w:t>
            </w:r>
            <w:proofErr w:type="spellEnd"/>
            <w:r>
              <w:rPr>
                <w:lang w:val="en-GB"/>
              </w:rPr>
              <w:t>βουλευτών</w:t>
            </w:r>
          </w:p>
        </w:tc>
      </w:tr>
      <w:tr w:rsidR="00A61746" w14:paraId="18CDD5D0"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BC03C14" w14:textId="77777777" w:rsidR="00A61746" w:rsidRDefault="00A61746">
            <w:pPr>
              <w:widowControl w:val="0"/>
              <w:spacing w:after="0" w:line="240" w:lineRule="auto"/>
              <w:jc w:val="left"/>
            </w:pPr>
            <w:r>
              <w:rPr>
                <w:i/>
                <w:iCs/>
                <w:lang w:val="el-GR"/>
              </w:rPr>
              <w:t>Αναγνωρίζω την επείγουσα ανάγκη αντιμετώπισης των επίμονων ανεκπλήρωτων αναγκών περισσότερων από ένα εκατομμύριο ανθρώπων που ζουν με ΠΣ σε όλη την Ευρώπη και, ως Βουλευτής του Ευρωπαϊκού Κοινοβουλίου, υπόσχομαι:</w:t>
            </w:r>
          </w:p>
        </w:tc>
      </w:tr>
      <w:tr w:rsidR="00A61746" w14:paraId="4A23DDCB"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E351CCB" w14:textId="77777777" w:rsidR="00A61746" w:rsidRDefault="00A61746">
            <w:pPr>
              <w:pStyle w:val="ListParagraph"/>
              <w:widowControl w:val="0"/>
              <w:numPr>
                <w:ilvl w:val="0"/>
                <w:numId w:val="3"/>
              </w:numPr>
              <w:spacing w:after="0" w:line="240" w:lineRule="auto"/>
              <w:jc w:val="left"/>
            </w:pPr>
            <w:r>
              <w:rPr>
                <w:b/>
                <w:bCs/>
                <w:i/>
                <w:iCs/>
                <w:lang w:val="el-GR"/>
              </w:rPr>
              <w:t>να δεσμευτώ για την ενδυνάμωση των ατόμων με ΠΣ καθ' όλη τη διάρκεια της επικείμενης θητείας (2024-2029).</w:t>
            </w:r>
          </w:p>
          <w:p w14:paraId="469E5B8E" w14:textId="77777777" w:rsidR="00A61746" w:rsidRDefault="00A61746">
            <w:pPr>
              <w:pStyle w:val="ListParagraph"/>
              <w:widowControl w:val="0"/>
              <w:numPr>
                <w:ilvl w:val="0"/>
                <w:numId w:val="3"/>
              </w:numPr>
              <w:spacing w:after="0" w:line="240" w:lineRule="auto"/>
              <w:jc w:val="left"/>
            </w:pPr>
            <w:r>
              <w:rPr>
                <w:b/>
                <w:bCs/>
                <w:i/>
                <w:iCs/>
                <w:lang w:val="el-GR"/>
              </w:rPr>
              <w:t>να υπερασπιστώ τις αρχές των ανθρωπίνων δικαιωμάτων, της ισότητας, της κοινωνικής ένταξης και της κοινωνικής προστασίας για την κοινότητα των ατόμων με ΠΣ.</w:t>
            </w:r>
          </w:p>
          <w:p w14:paraId="442B3F30" w14:textId="77777777" w:rsidR="00A61746" w:rsidRDefault="00A61746">
            <w:pPr>
              <w:pStyle w:val="ListParagraph"/>
              <w:widowControl w:val="0"/>
              <w:numPr>
                <w:ilvl w:val="0"/>
                <w:numId w:val="3"/>
              </w:numPr>
              <w:spacing w:after="0" w:line="240" w:lineRule="auto"/>
              <w:jc w:val="left"/>
            </w:pPr>
            <w:r>
              <w:rPr>
                <w:b/>
                <w:bCs/>
                <w:i/>
                <w:iCs/>
                <w:lang w:val="el-GR"/>
              </w:rPr>
              <w:t>να συμβάλω ενεργά στη δημιουργία ενός πιο περιεκτικού, υποστηρικτικού και ενδυναμωτικού περιβάλλοντος για την κοινότητα των κρατών μελών στην Ευρώπη.</w:t>
            </w:r>
          </w:p>
        </w:tc>
      </w:tr>
      <w:tr w:rsidR="00A61746" w14:paraId="7EAF527B"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DF86E61" w14:textId="77777777" w:rsidR="00A61746" w:rsidRDefault="00A61746">
            <w:pPr>
              <w:widowControl w:val="0"/>
              <w:spacing w:after="0" w:line="240" w:lineRule="auto"/>
              <w:jc w:val="left"/>
            </w:pPr>
            <w:r>
              <w:rPr>
                <w:i/>
                <w:iCs/>
                <w:sz w:val="20"/>
                <w:szCs w:val="20"/>
                <w:lang w:val="el-GR"/>
              </w:rPr>
              <w:t>Ονο</w:t>
            </w:r>
            <w:r>
              <w:rPr>
                <w:i/>
                <w:iCs/>
                <w:sz w:val="20"/>
                <w:szCs w:val="20"/>
              </w:rPr>
              <w:t>μα</w:t>
            </w:r>
            <w:proofErr w:type="spellStart"/>
            <w:r>
              <w:rPr>
                <w:i/>
                <w:iCs/>
                <w:sz w:val="20"/>
                <w:szCs w:val="20"/>
              </w:rPr>
              <w:t>τε</w:t>
            </w:r>
            <w:proofErr w:type="spellEnd"/>
            <w:r>
              <w:rPr>
                <w:i/>
                <w:iCs/>
                <w:sz w:val="20"/>
                <w:szCs w:val="20"/>
              </w:rPr>
              <w:t>πώνυμο και υπο</w:t>
            </w:r>
            <w:r>
              <w:rPr>
                <w:i/>
                <w:iCs/>
                <w:sz w:val="20"/>
                <w:szCs w:val="20"/>
                <w:lang w:val="el-GR"/>
              </w:rPr>
              <w:t>γ</w:t>
            </w:r>
            <w:r>
              <w:rPr>
                <w:i/>
                <w:iCs/>
                <w:sz w:val="20"/>
                <w:szCs w:val="20"/>
              </w:rPr>
              <w:t>ραφ</w:t>
            </w:r>
            <w:r>
              <w:rPr>
                <w:i/>
                <w:iCs/>
                <w:sz w:val="20"/>
                <w:szCs w:val="20"/>
                <w:lang w:val="el-GR"/>
              </w:rPr>
              <w:t>ή</w:t>
            </w:r>
          </w:p>
        </w:tc>
      </w:tr>
      <w:tr w:rsidR="00A61746" w14:paraId="0677C6E4"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3FCDB59" w14:textId="77777777" w:rsidR="00A61746" w:rsidRDefault="00A61746">
            <w:pPr>
              <w:pStyle w:val="Heading1"/>
              <w:widowControl w:val="0"/>
              <w:jc w:val="left"/>
            </w:pPr>
            <w:r>
              <w:rPr>
                <w:lang w:val="el-GR"/>
              </w:rPr>
              <w:t>Προσυπογραφή</w:t>
            </w:r>
          </w:p>
        </w:tc>
      </w:tr>
      <w:tr w:rsidR="00A61746" w14:paraId="78D69C57"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E25BD29" w14:textId="77777777" w:rsidR="00A61746" w:rsidRDefault="00A61746">
            <w:pPr>
              <w:widowControl w:val="0"/>
              <w:spacing w:after="0" w:line="240" w:lineRule="auto"/>
              <w:jc w:val="left"/>
            </w:pPr>
            <w:r>
              <w:rPr>
                <w:b/>
                <w:bCs/>
                <w:lang w:val="el-GR"/>
              </w:rPr>
              <w:t>Αυτό το μανιφέστο προσυπογράφεται από</w:t>
            </w:r>
            <w:r>
              <w:rPr>
                <w:sz w:val="32"/>
                <w:szCs w:val="32"/>
                <w:lang w:val="el-GR"/>
              </w:rPr>
              <w:t xml:space="preserve"> </w:t>
            </w:r>
          </w:p>
        </w:tc>
      </w:tr>
      <w:tr w:rsidR="00A61746" w14:paraId="6AF67C4C"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4EADCE85" w14:textId="77777777" w:rsidR="00A61746" w:rsidRDefault="00A61746">
            <w:pPr>
              <w:widowControl w:val="0"/>
              <w:spacing w:after="0" w:line="240" w:lineRule="auto"/>
              <w:jc w:val="left"/>
            </w:pPr>
            <w:r>
              <w:rPr>
                <w:i/>
                <w:iCs/>
                <w:sz w:val="20"/>
                <w:szCs w:val="20"/>
                <w:lang w:val="el-GR"/>
              </w:rPr>
              <w:t xml:space="preserve">Πανελλήνια Ομοσπονδία Ατόμων με Σκλήρυνση κατά Πλάκας (ΠΟΑμΣΚΠ) </w:t>
            </w:r>
          </w:p>
          <w:p w14:paraId="7CD8ADBD" w14:textId="77777777" w:rsidR="00A61746" w:rsidRDefault="00A61746">
            <w:pPr>
              <w:widowControl w:val="0"/>
              <w:spacing w:after="0" w:line="240" w:lineRule="auto"/>
              <w:jc w:val="left"/>
            </w:pPr>
            <w:r>
              <w:rPr>
                <w:i/>
                <w:iCs/>
                <w:sz w:val="20"/>
                <w:szCs w:val="20"/>
                <w:lang w:val="el-GR"/>
              </w:rPr>
              <w:t>Μόιρα Τζίτζικα</w:t>
            </w:r>
          </w:p>
          <w:p w14:paraId="1F8E1B4E" w14:textId="77777777" w:rsidR="00A61746" w:rsidRDefault="00A61746">
            <w:pPr>
              <w:widowControl w:val="0"/>
              <w:spacing w:after="0" w:line="240" w:lineRule="auto"/>
              <w:jc w:val="left"/>
            </w:pPr>
            <w:r>
              <w:rPr>
                <w:i/>
                <w:iCs/>
                <w:sz w:val="20"/>
                <w:szCs w:val="20"/>
                <w:lang w:val="el-GR"/>
              </w:rPr>
              <w:t>Πρόεδρος</w:t>
            </w:r>
          </w:p>
          <w:p w14:paraId="29BA4BB1" w14:textId="77777777" w:rsidR="00A61746" w:rsidRDefault="00A61746">
            <w:pPr>
              <w:pStyle w:val="Heading2"/>
              <w:widowControl w:val="0"/>
              <w:jc w:val="left"/>
              <w:rPr>
                <w:sz w:val="32"/>
                <w:szCs w:val="32"/>
                <w:lang w:val="en-GB"/>
              </w:rPr>
            </w:pPr>
          </w:p>
        </w:tc>
      </w:tr>
      <w:tr w:rsidR="00A61746" w14:paraId="5090821D"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663A8E2" w14:textId="77777777" w:rsidR="00A61746" w:rsidRDefault="00A61746">
            <w:pPr>
              <w:pStyle w:val="Heading1"/>
              <w:widowControl w:val="0"/>
              <w:jc w:val="left"/>
            </w:pPr>
            <w:r>
              <w:rPr>
                <w:lang w:val="el-GR"/>
              </w:rPr>
              <w:t xml:space="preserve">Λίγα λόγια για την </w:t>
            </w:r>
            <w:r>
              <w:rPr>
                <w:lang w:val="en-GB"/>
              </w:rPr>
              <w:t>EMSP</w:t>
            </w:r>
            <w:r>
              <w:rPr>
                <w:lang w:val="el-GR"/>
              </w:rPr>
              <w:t xml:space="preserve"> </w:t>
            </w:r>
          </w:p>
          <w:p w14:paraId="6852EE65" w14:textId="77777777" w:rsidR="00A61746" w:rsidRDefault="00A61746">
            <w:pPr>
              <w:pStyle w:val="Heading2"/>
              <w:widowControl w:val="0"/>
              <w:jc w:val="left"/>
              <w:rPr>
                <w:sz w:val="32"/>
                <w:szCs w:val="32"/>
                <w:lang w:val="el-GR"/>
              </w:rPr>
            </w:pPr>
          </w:p>
        </w:tc>
      </w:tr>
      <w:tr w:rsidR="00A61746" w:rsidRPr="00A61746" w14:paraId="3C05847B" w14:textId="77777777" w:rsidTr="00A61746">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692E26F" w14:textId="77777777" w:rsidR="00A61746" w:rsidRPr="00A61746" w:rsidRDefault="00A61746">
            <w:pPr>
              <w:pStyle w:val="Heading2"/>
              <w:widowControl w:val="0"/>
              <w:spacing w:line="240" w:lineRule="auto"/>
              <w:jc w:val="left"/>
              <w:rPr>
                <w:lang w:val="el-GR"/>
              </w:rPr>
            </w:pPr>
            <w:r>
              <w:rPr>
                <w:rFonts w:ascii="Fira Sans Condensed" w:hAnsi="Fira Sans Condensed"/>
                <w:b w:val="0"/>
                <w:bCs w:val="0"/>
                <w:color w:val="auto"/>
                <w:kern w:val="2"/>
                <w:sz w:val="22"/>
                <w:szCs w:val="22"/>
                <w:lang w:val="el-GR"/>
              </w:rPr>
              <w:t xml:space="preserve">Η </w:t>
            </w:r>
            <w:r>
              <w:rPr>
                <w:rFonts w:ascii="Fira Sans Condensed" w:hAnsi="Fira Sans Condensed"/>
                <w:color w:val="auto"/>
                <w:kern w:val="2"/>
                <w:sz w:val="22"/>
                <w:szCs w:val="22"/>
                <w:lang w:val="el-GR"/>
              </w:rPr>
              <w:t>Ευρωπαϊκή Πλατφόρμα για τα άτομα με ΠΣ (</w:t>
            </w:r>
            <w:r>
              <w:rPr>
                <w:rFonts w:ascii="Fira Sans Condensed" w:hAnsi="Fira Sans Condensed"/>
                <w:color w:val="auto"/>
                <w:kern w:val="2"/>
                <w:sz w:val="22"/>
                <w:szCs w:val="22"/>
                <w:lang w:val="en-GB"/>
              </w:rPr>
              <w:t>EMSP</w:t>
            </w:r>
            <w:r>
              <w:rPr>
                <w:rFonts w:ascii="Fira Sans Condensed" w:hAnsi="Fira Sans Condensed"/>
                <w:color w:val="auto"/>
                <w:kern w:val="2"/>
                <w:sz w:val="22"/>
                <w:szCs w:val="22"/>
                <w:lang w:val="el-GR"/>
              </w:rPr>
              <w:t>)</w:t>
            </w:r>
            <w:r>
              <w:rPr>
                <w:rFonts w:ascii="Fira Sans Condensed" w:hAnsi="Fira Sans Condensed"/>
                <w:b w:val="0"/>
                <w:bCs w:val="0"/>
                <w:color w:val="auto"/>
                <w:kern w:val="2"/>
                <w:sz w:val="22"/>
                <w:szCs w:val="22"/>
                <w:lang w:val="el-GR"/>
              </w:rPr>
              <w:t xml:space="preserve"> είναι η ηγετική φωνή περισσότερων από </w:t>
            </w:r>
            <w:r>
              <w:rPr>
                <w:rFonts w:ascii="Fira Sans Condensed" w:hAnsi="Fira Sans Condensed"/>
                <w:color w:val="auto"/>
                <w:kern w:val="2"/>
                <w:sz w:val="22"/>
                <w:szCs w:val="22"/>
                <w:lang w:val="el-GR"/>
              </w:rPr>
              <w:t>1 εκατομμύριο ανθρώπων που ζουν με</w:t>
            </w:r>
            <w:r>
              <w:rPr>
                <w:rFonts w:ascii="Fira Sans Condensed" w:hAnsi="Fira Sans Condensed"/>
                <w:b w:val="0"/>
                <w:bCs w:val="0"/>
                <w:color w:val="auto"/>
                <w:kern w:val="2"/>
                <w:sz w:val="22"/>
                <w:szCs w:val="22"/>
                <w:lang w:val="el-GR"/>
              </w:rPr>
              <w:t xml:space="preserve"> πολλαπλή σκλήρυνση (ΠΣ) σε ολόκληρη την Ευρώπη. </w:t>
            </w:r>
            <w:r>
              <w:rPr>
                <w:rFonts w:ascii="Fira Sans Condensed" w:hAnsi="Fira Sans Condensed"/>
                <w:color w:val="auto"/>
                <w:kern w:val="2"/>
                <w:sz w:val="22"/>
                <w:szCs w:val="22"/>
                <w:lang w:val="el-GR"/>
              </w:rPr>
              <w:t xml:space="preserve">Η </w:t>
            </w:r>
            <w:r>
              <w:rPr>
                <w:rFonts w:ascii="Fira Sans Condensed" w:hAnsi="Fira Sans Condensed"/>
                <w:color w:val="auto"/>
                <w:kern w:val="2"/>
                <w:sz w:val="22"/>
                <w:szCs w:val="22"/>
                <w:lang w:val="en-GB"/>
              </w:rPr>
              <w:t>EMSP</w:t>
            </w:r>
            <w:r>
              <w:rPr>
                <w:rFonts w:ascii="Fira Sans Condensed" w:hAnsi="Fira Sans Condensed"/>
                <w:color w:val="auto"/>
                <w:kern w:val="2"/>
                <w:sz w:val="22"/>
                <w:szCs w:val="22"/>
                <w:lang w:val="el-GR"/>
              </w:rPr>
              <w:t xml:space="preserve"> ενώνει 43 συλλόγους-μέλη σε 37 ευρωπαϊκές χώρες με μια μοναδική αποστολή: να οδηγήσει σε κρίσιμη, υπερσύγχρονη έρευνα και να προωθήσει πολιτικές και θεραπείες</w:t>
            </w:r>
            <w:r>
              <w:rPr>
                <w:rFonts w:ascii="Fira Sans Condensed" w:hAnsi="Fira Sans Condensed"/>
                <w:b w:val="0"/>
                <w:bCs w:val="0"/>
                <w:color w:val="auto"/>
                <w:kern w:val="2"/>
                <w:sz w:val="22"/>
                <w:szCs w:val="22"/>
                <w:lang w:val="el-GR"/>
              </w:rPr>
              <w:t xml:space="preserve"> </w:t>
            </w:r>
            <w:r>
              <w:rPr>
                <w:rFonts w:ascii="Fira Sans Condensed" w:hAnsi="Fira Sans Condensed"/>
                <w:color w:val="auto"/>
                <w:kern w:val="2"/>
                <w:sz w:val="22"/>
                <w:szCs w:val="22"/>
                <w:lang w:val="el-GR"/>
              </w:rPr>
              <w:t>σχετικές με τη σκλήρυνση κατά πλάκας, καθώς και πιθανή θεραπεία.</w:t>
            </w:r>
            <w:r>
              <w:rPr>
                <w:rFonts w:ascii="Fira Sans Condensed" w:hAnsi="Fira Sans Condensed"/>
                <w:b w:val="0"/>
                <w:bCs w:val="0"/>
                <w:color w:val="auto"/>
                <w:kern w:val="2"/>
                <w:sz w:val="22"/>
                <w:szCs w:val="22"/>
                <w:lang w:val="el-GR"/>
              </w:rPr>
              <w:t xml:space="preserve"> Από την ίδρυσή της το 1989, η </w:t>
            </w:r>
            <w:r>
              <w:rPr>
                <w:rFonts w:ascii="Fira Sans Condensed" w:hAnsi="Fira Sans Condensed"/>
                <w:b w:val="0"/>
                <w:bCs w:val="0"/>
                <w:color w:val="auto"/>
                <w:kern w:val="2"/>
                <w:sz w:val="22"/>
                <w:szCs w:val="22"/>
                <w:lang w:val="en-GB"/>
              </w:rPr>
              <w:t>EMSP</w:t>
            </w:r>
            <w:r>
              <w:rPr>
                <w:rFonts w:ascii="Fira Sans Condensed" w:hAnsi="Fira Sans Condensed"/>
                <w:b w:val="0"/>
                <w:bCs w:val="0"/>
                <w:color w:val="auto"/>
                <w:kern w:val="2"/>
                <w:sz w:val="22"/>
                <w:szCs w:val="22"/>
                <w:lang w:val="el-GR"/>
              </w:rPr>
              <w:t xml:space="preserve"> παρέμεινε σταθερή στη δέσμευσή της για την ενίσχυση της διαχείρισης της ΠΣ και της ευημερίας των ατόμων που πάσχουν από ΠΣ. Μέσω της ειδικής υπεράσπισης, της συλλογής δεδομένων, της υποστήριξης της επιστημονικής έρευνας και του κεντρικού βαρόμετρου της ΠΣ, η </w:t>
            </w:r>
            <w:r>
              <w:rPr>
                <w:rFonts w:ascii="Fira Sans Condensed" w:hAnsi="Fira Sans Condensed"/>
                <w:b w:val="0"/>
                <w:bCs w:val="0"/>
                <w:color w:val="auto"/>
                <w:kern w:val="2"/>
                <w:sz w:val="22"/>
                <w:szCs w:val="22"/>
                <w:lang w:val="en-GB"/>
              </w:rPr>
              <w:t>EMSP</w:t>
            </w:r>
            <w:r>
              <w:rPr>
                <w:rFonts w:ascii="Fira Sans Condensed" w:hAnsi="Fira Sans Condensed"/>
                <w:b w:val="0"/>
                <w:bCs w:val="0"/>
                <w:color w:val="auto"/>
                <w:kern w:val="2"/>
                <w:sz w:val="22"/>
                <w:szCs w:val="22"/>
                <w:lang w:val="el-GR"/>
              </w:rPr>
              <w:t xml:space="preserve"> προσπαθεί να αντιμετωπίσει τις ανισότητες στη φροντίδα της ΠΣ, προασπίζοντας παράλληλα τις αρχές των ανθρωπίνων δικαιωμάτων, της ισότητας, της κοινωνικής ένταξης και της κοινωνικής προστασίας για όσους πάσχουν από ΠΣ.</w:t>
            </w:r>
          </w:p>
        </w:tc>
      </w:tr>
    </w:tbl>
    <w:p w14:paraId="3AB83974" w14:textId="77777777" w:rsidR="00F10C78" w:rsidRPr="00A61746" w:rsidRDefault="00F10C78">
      <w:pPr>
        <w:jc w:val="left"/>
        <w:rPr>
          <w:lang w:val="el-GR"/>
        </w:rPr>
      </w:pPr>
    </w:p>
    <w:sectPr w:rsidR="00F10C78" w:rsidRPr="00A61746">
      <w:pgSz w:w="11906" w:h="16838"/>
      <w:pgMar w:top="708" w:right="1440" w:bottom="708" w:left="1440" w:header="72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0A40" w14:textId="77777777" w:rsidR="00F10C78" w:rsidRDefault="00F10C78">
      <w:pPr>
        <w:spacing w:after="0" w:line="240" w:lineRule="auto"/>
      </w:pPr>
      <w:r>
        <w:separator/>
      </w:r>
    </w:p>
  </w:endnote>
  <w:endnote w:type="continuationSeparator" w:id="0">
    <w:p w14:paraId="788B8331" w14:textId="77777777" w:rsidR="00F10C78" w:rsidRDefault="00F1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Condensed">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SemiBold">
    <w:charset w:val="00"/>
    <w:family w:val="swiss"/>
    <w:pitch w:val="variable"/>
    <w:sig w:usb0="600002FF"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34AA" w14:textId="77777777" w:rsidR="00F10C78" w:rsidRDefault="00F10C78">
      <w:pPr>
        <w:spacing w:after="0" w:line="240" w:lineRule="auto"/>
      </w:pPr>
      <w:r>
        <w:separator/>
      </w:r>
    </w:p>
  </w:footnote>
  <w:footnote w:type="continuationSeparator" w:id="0">
    <w:p w14:paraId="2E6E9B38" w14:textId="77777777" w:rsidR="00F10C78" w:rsidRDefault="00F10C78">
      <w:pPr>
        <w:spacing w:after="0" w:line="240" w:lineRule="auto"/>
      </w:pPr>
      <w:r>
        <w:continuationSeparator/>
      </w:r>
    </w:p>
  </w:footnote>
  <w:footnote w:id="1">
    <w:p w14:paraId="3479AFE4" w14:textId="74447189" w:rsidR="00A61746" w:rsidRPr="00A61746" w:rsidRDefault="00A61746">
      <w:pPr>
        <w:pStyle w:val="FootnoteText"/>
        <w:rPr>
          <w:lang w:val="en-US"/>
        </w:rPr>
      </w:pPr>
      <w:r>
        <w:rPr>
          <w:rStyle w:val="FootnoteReference"/>
        </w:rPr>
        <w:footnoteRef/>
      </w:r>
      <w:r>
        <w:t xml:space="preserve"> </w:t>
      </w:r>
      <w:r>
        <w:rPr>
          <w:lang w:val="el-GR"/>
        </w:rPr>
        <w:t>εγκεκριμένα από τον Ευρωπαϊκό Οργανισμό Φαρμάκων (EMA)</w:t>
      </w:r>
    </w:p>
  </w:footnote>
  <w:footnote w:id="2">
    <w:p w14:paraId="6CAF89E7" w14:textId="6FC24EA6" w:rsidR="009311B1" w:rsidRPr="009311B1" w:rsidRDefault="009311B1">
      <w:pPr>
        <w:pStyle w:val="FootnoteText"/>
        <w:rPr>
          <w:lang w:val="en-US"/>
        </w:rPr>
      </w:pPr>
      <w:r>
        <w:rPr>
          <w:rStyle w:val="FootnoteReference"/>
        </w:rPr>
        <w:footnoteRef/>
      </w:r>
      <w:r>
        <w:t xml:space="preserve"> </w:t>
      </w:r>
      <w:r>
        <w:rPr>
          <w:lang w:val="el-GR"/>
        </w:rPr>
        <w:t>συγγενείς, ή γείτονες, που παράσχουν βοήθεια η οποία συνδέεται με μία υποκείμενη σωματική, ή νοητική αναπηρία, όπως η παροχή φροντίδας στο σπίτι, η, η βοήθεια στις δραστηριότητες της καθημερινής ζωής (ADL), αφιλοκερδώς και δεν έχουν επίσημη εκπαίδευση για παροχή αυτών των υπηρεσιών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3"/>
    <w:multiLevelType w:val="multilevel"/>
    <w:tmpl w:val="00000003"/>
    <w:name w:val="WWNum3"/>
    <w:lvl w:ilvl="0">
      <w:numFmt w:val="bullet"/>
      <w:lvlText w:val="-"/>
      <w:lvlJc w:val="left"/>
      <w:pPr>
        <w:tabs>
          <w:tab w:val="num" w:pos="0"/>
        </w:tabs>
        <w:ind w:left="720" w:hanging="360"/>
      </w:pPr>
      <w:rPr>
        <w:rFonts w:ascii="Fira Sans Condensed" w:hAnsi="Fira Sans Condensed" w:cs="Aria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76188954">
    <w:abstractNumId w:val="0"/>
  </w:num>
  <w:num w:numId="2" w16cid:durableId="1967156579">
    <w:abstractNumId w:val="1"/>
  </w:num>
  <w:num w:numId="3" w16cid:durableId="938949416">
    <w:abstractNumId w:val="2"/>
  </w:num>
  <w:num w:numId="4" w16cid:durableId="934633359">
    <w:abstractNumId w:val="3"/>
  </w:num>
  <w:num w:numId="5" w16cid:durableId="1135565160">
    <w:abstractNumId w:val="4"/>
  </w:num>
  <w:num w:numId="6" w16cid:durableId="976178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78"/>
    <w:rsid w:val="005F44AB"/>
    <w:rsid w:val="009311B1"/>
    <w:rsid w:val="00A61746"/>
    <w:rsid w:val="00F10C7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8BB27A"/>
  <w15:chartTrackingRefBased/>
  <w15:docId w15:val="{247B592B-2E1E-49C8-AD13-222ED9A7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jc w:val="both"/>
    </w:pPr>
    <w:rPr>
      <w:rFonts w:ascii="Fira Sans Condensed" w:eastAsia="Calibri" w:hAnsi="Fira Sans Condensed" w:cs="Arial"/>
      <w:kern w:val="2"/>
      <w:sz w:val="22"/>
      <w:szCs w:val="22"/>
      <w:lang w:val="en-GB"/>
    </w:rPr>
  </w:style>
  <w:style w:type="paragraph" w:styleId="Heading1">
    <w:name w:val="heading 1"/>
    <w:basedOn w:val="Normal"/>
    <w:next w:val="Normal"/>
    <w:qFormat/>
    <w:pPr>
      <w:keepNext/>
      <w:keepLines/>
      <w:spacing w:before="120" w:after="120" w:line="276" w:lineRule="auto"/>
      <w:ind w:left="431" w:hanging="431"/>
      <w:outlineLvl w:val="0"/>
    </w:pPr>
    <w:rPr>
      <w:rFonts w:ascii="Fira Sans SemiBold" w:eastAsia="Yu Gothic Light" w:hAnsi="Fira Sans SemiBold" w:cs="Times New Roman"/>
      <w:b/>
      <w:color w:val="4BABBC"/>
      <w:kern w:val="0"/>
      <w:sz w:val="28"/>
      <w:szCs w:val="24"/>
      <w:lang w:val="mt-MT"/>
    </w:rPr>
  </w:style>
  <w:style w:type="paragraph" w:styleId="Heading2">
    <w:name w:val="heading 2"/>
    <w:basedOn w:val="Normal"/>
    <w:next w:val="Normal"/>
    <w:qFormat/>
    <w:pPr>
      <w:spacing w:after="0" w:line="360" w:lineRule="auto"/>
      <w:outlineLvl w:val="1"/>
    </w:pPr>
    <w:rPr>
      <w:rFonts w:ascii="Fira Sans" w:hAnsi="Fira Sans"/>
      <w:b/>
      <w:bCs/>
      <w:color w:val="505457"/>
      <w:kern w:val="0"/>
      <w:sz w:val="36"/>
      <w:szCs w:val="36"/>
      <w:lang w:val="de-DE"/>
    </w:rPr>
  </w:style>
  <w:style w:type="paragraph" w:styleId="Heading3">
    <w:name w:val="heading 3"/>
    <w:basedOn w:val="Normal"/>
    <w:next w:val="Normal"/>
    <w:qFormat/>
    <w:pPr>
      <w:keepNext/>
      <w:keepLines/>
      <w:spacing w:before="40" w:after="0"/>
      <w:outlineLvl w:val="2"/>
    </w:pPr>
    <w:rPr>
      <w:rFonts w:ascii="Calibri Light" w:eastAsia="Yu Gothic Light"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1Char">
    <w:name w:val="Heading 1 Char"/>
    <w:basedOn w:val="DefaultParagraphFont1"/>
    <w:rPr>
      <w:rFonts w:ascii="Fira Sans SemiBold" w:eastAsia="Yu Gothic Light" w:hAnsi="Fira Sans SemiBold" w:cs="Times New Roman"/>
      <w:b/>
      <w:color w:val="4BABBC"/>
      <w:kern w:val="0"/>
      <w:sz w:val="28"/>
      <w:szCs w:val="24"/>
      <w:lang w:val="mt-MT"/>
    </w:rPr>
  </w:style>
  <w:style w:type="character" w:styleId="Hyperlink">
    <w:name w:val="Hyperlink"/>
    <w:basedOn w:val="DefaultParagraphFont1"/>
    <w:rPr>
      <w:color w:val="0563C1"/>
      <w:u w:val="single"/>
    </w:rPr>
  </w:style>
  <w:style w:type="character" w:customStyle="1" w:styleId="CommentTextChar">
    <w:name w:val="Comment Text Char"/>
    <w:basedOn w:val="DefaultParagraphFont1"/>
    <w:rPr>
      <w:sz w:val="20"/>
      <w:szCs w:val="20"/>
      <w:lang w:val="en-BE"/>
    </w:rPr>
  </w:style>
  <w:style w:type="character" w:customStyle="1" w:styleId="CommentReference1">
    <w:name w:val="Comment Reference1"/>
    <w:basedOn w:val="DefaultParagraphFont1"/>
    <w:rPr>
      <w:sz w:val="16"/>
      <w:szCs w:val="16"/>
    </w:rPr>
  </w:style>
  <w:style w:type="character" w:styleId="FollowedHyperlink">
    <w:name w:val="FollowedHyperlink"/>
    <w:basedOn w:val="DefaultParagraphFont1"/>
    <w:rPr>
      <w:color w:val="954F72"/>
      <w:u w:val="single"/>
    </w:rPr>
  </w:style>
  <w:style w:type="character" w:customStyle="1" w:styleId="FootnoteTextChar">
    <w:name w:val="Footnote Text Char"/>
    <w:basedOn w:val="DefaultParagraphFont1"/>
    <w:rPr>
      <w:rFonts w:ascii="Fira Sans Condensed" w:hAnsi="Fira Sans Condensed"/>
      <w:sz w:val="20"/>
      <w:szCs w:val="20"/>
      <w:lang w:val="en-GB"/>
    </w:rPr>
  </w:style>
  <w:style w:type="character" w:customStyle="1" w:styleId="FootnoteCharacters">
    <w:name w:val="Footnote Characters"/>
    <w:basedOn w:val="DefaultParagraphFont1"/>
    <w:rPr>
      <w:vertAlign w:val="superscript"/>
    </w:rPr>
  </w:style>
  <w:style w:type="character" w:styleId="FootnoteReference">
    <w:name w:val="footnote reference"/>
    <w:rPr>
      <w:vertAlign w:val="superscript"/>
    </w:rPr>
  </w:style>
  <w:style w:type="character" w:customStyle="1" w:styleId="Heading2Char">
    <w:name w:val="Heading 2 Char"/>
    <w:basedOn w:val="DefaultParagraphFont1"/>
    <w:rPr>
      <w:rFonts w:ascii="Fira Sans" w:hAnsi="Fira Sans"/>
      <w:b/>
      <w:bCs/>
      <w:color w:val="505457"/>
      <w:kern w:val="0"/>
      <w:sz w:val="36"/>
      <w:szCs w:val="36"/>
      <w:lang w:val="de-DE"/>
    </w:rPr>
  </w:style>
  <w:style w:type="character" w:styleId="UnresolvedMention">
    <w:name w:val="Unresolved Mention"/>
    <w:basedOn w:val="DefaultParagraphFont1"/>
    <w:rPr>
      <w:color w:val="605E5C"/>
      <w:shd w:val="clear" w:color="auto" w:fill="E1DFDD"/>
    </w:rPr>
  </w:style>
  <w:style w:type="character" w:customStyle="1" w:styleId="HeaderChar">
    <w:name w:val="Header Char"/>
    <w:basedOn w:val="DefaultParagraphFont1"/>
    <w:rPr>
      <w:rFonts w:ascii="Fira Sans Condensed" w:hAnsi="Fira Sans Condensed"/>
      <w:lang w:val="en-GB"/>
    </w:rPr>
  </w:style>
  <w:style w:type="character" w:customStyle="1" w:styleId="FooterChar">
    <w:name w:val="Footer Char"/>
    <w:basedOn w:val="DefaultParagraphFont1"/>
    <w:rPr>
      <w:rFonts w:ascii="Fira Sans Condensed" w:hAnsi="Fira Sans Condensed"/>
      <w:lang w:val="en-GB"/>
    </w:rPr>
  </w:style>
  <w:style w:type="character" w:customStyle="1" w:styleId="CommentSubjectChar">
    <w:name w:val="Comment Subject Char"/>
    <w:basedOn w:val="CommentTextChar"/>
    <w:rPr>
      <w:rFonts w:ascii="Fira Sans Condensed" w:hAnsi="Fira Sans Condensed"/>
      <w:b/>
      <w:bCs/>
      <w:sz w:val="20"/>
      <w:szCs w:val="20"/>
      <w:lang w:val="en-GB"/>
    </w:rPr>
  </w:style>
  <w:style w:type="character" w:styleId="Mention">
    <w:name w:val="Mention"/>
    <w:basedOn w:val="DefaultParagraphFont1"/>
    <w:rPr>
      <w:color w:val="2B579A"/>
      <w:shd w:val="clear" w:color="auto" w:fill="E1DFDD"/>
    </w:rPr>
  </w:style>
  <w:style w:type="character" w:customStyle="1" w:styleId="Heading3Char">
    <w:name w:val="Heading 3 Char"/>
    <w:basedOn w:val="DefaultParagraphFont1"/>
    <w:rPr>
      <w:rFonts w:ascii="Calibri Light" w:eastAsia="Yu Gothic Light" w:hAnsi="Calibri Light" w:cs="Times New Roman"/>
      <w:color w:val="1F3763"/>
      <w:sz w:val="24"/>
      <w:szCs w:val="24"/>
      <w:lang w:val="en-GB"/>
    </w:rPr>
  </w:style>
  <w:style w:type="character" w:customStyle="1" w:styleId="Strong1">
    <w:name w:val="Strong1"/>
    <w:basedOn w:val="DefaultParagraphFont1"/>
    <w:rPr>
      <w:b/>
      <w:bCs/>
    </w:rPr>
  </w:style>
  <w:style w:type="character" w:styleId="LineNumber">
    <w:name w:val="line number"/>
  </w:style>
  <w:style w:type="character" w:styleId="EndnoteReference">
    <w:name w:val="endnote reference"/>
    <w:rPr>
      <w:vertAlign w:val="superscript"/>
    </w:rPr>
  </w:style>
  <w:style w:type="character" w:customStyle="1" w:styleId="EndnoteCharacters">
    <w:name w:val="Endnote Characters"/>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eastAsia="Calibri" w:cs="Arial"/>
      <w:b/>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Times New Roman"/>
    </w:rPr>
  </w:style>
  <w:style w:type="paragraph" w:styleId="ListParagraph">
    <w:name w:val="List Paragraph"/>
    <w:basedOn w:val="Normal"/>
    <w:qFormat/>
    <w:pPr>
      <w:ind w:left="720"/>
      <w:contextualSpacing/>
    </w:pPr>
  </w:style>
  <w:style w:type="paragraph" w:customStyle="1" w:styleId="CommentText1">
    <w:name w:val="Comment Text1"/>
    <w:basedOn w:val="Normal"/>
    <w:pPr>
      <w:spacing w:line="240" w:lineRule="auto"/>
    </w:pPr>
    <w:rPr>
      <w:sz w:val="20"/>
      <w:szCs w:val="20"/>
    </w:rPr>
  </w:style>
  <w:style w:type="paragraph" w:styleId="FootnoteText">
    <w:name w:val="footnote text"/>
    <w:basedOn w:val="Normal"/>
    <w:pPr>
      <w:spacing w:after="0" w:line="240" w:lineRule="auto"/>
    </w:pPr>
    <w:rPr>
      <w:sz w:val="20"/>
      <w:szCs w:val="20"/>
    </w:rPr>
  </w:style>
  <w:style w:type="paragraph" w:customStyle="1" w:styleId="HeaderandFooter">
    <w:name w:val="Header and Footer"/>
    <w:basedOn w:val="Normal"/>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CommentSubject1">
    <w:name w:val="Comment Subject1"/>
    <w:basedOn w:val="CommentText1"/>
    <w:next w:val="CommentText1"/>
    <w:rPr>
      <w:b/>
      <w:bCs/>
    </w:rPr>
  </w:style>
  <w:style w:type="paragraph" w:styleId="Revision">
    <w:name w:val="Revision"/>
    <w:pPr>
      <w:suppressAutoHyphens/>
    </w:pPr>
    <w:rPr>
      <w:rFonts w:ascii="Fira Sans Condensed" w:eastAsia="Calibri" w:hAnsi="Fira Sans Condensed" w:cs="Arial"/>
      <w:kern w:val="2"/>
      <w:sz w:val="22"/>
      <w:szCs w:val="22"/>
      <w:lang w:val="en-GB"/>
    </w:rPr>
  </w:style>
  <w:style w:type="paragraph" w:styleId="NormalWeb">
    <w:name w:val="Normal (Web)"/>
    <w:basedOn w:val="Normal"/>
    <w:pPr>
      <w:spacing w:before="280" w:after="280" w:line="240" w:lineRule="auto"/>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AppData\Local\Microsoft\Windows\INetCache\Content.Outlook\W9HNZ4CZ\EMSP%20EU%202024%20Elections%20Manifesto_for%20transl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EMSP EU 2024 Elections Manifesto_for translations</Template>
  <TotalTime>0</TotalTime>
  <Pages>4</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cp:lastModifiedBy>Juris Lavrikovs | EMSP</cp:lastModifiedBy>
  <cp:revision>2</cp:revision>
  <cp:lastPrinted>1899-12-31T23:00:00Z</cp:lastPrinted>
  <dcterms:created xsi:type="dcterms:W3CDTF">2024-02-05T09:31:00Z</dcterms:created>
  <dcterms:modified xsi:type="dcterms:W3CDTF">2024-02-05T09:31:00Z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0x01010011BCAEA420A8344EA940672D9B22B87B</vt:lpwstr>
  </property>
  <property fmtid="{D5CDD505-2E9C-101B-9397-08002B2CF9AE}" pid="4" name="GrammarlyDocumentId">
    <vt:lpwstr>5ca2bae77b6bbac5d987d27f07ea0c629c7e20f81d36fe4f0ea9817a2a7db321</vt:lpwstr>
  </property>
</Properties>
</file>